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BO.2021.3 vom 2. März 2022</w:t>
      </w:r>
    </w:p>
    <w:p>
      <w:r>
        <w:t>SG Gerichte, 2022-03-02, DE</w:t>
      </w:r>
    </w:p>
    <w:p>
      <w:r>
        <w:rPr>
          <w:b/>
        </w:rPr>
        <w:t xml:space="preserve">Quelle: </w:t>
      </w:r>
      <w:r>
        <w:t>https://mcp.opencaselaw.ch/entscheid/sg_gerichte_BO.2021.3</w:t>
      </w:r>
    </w:p>
    <w:p>
      <w:r>
        <w:t>FR: SG_GERICHTE BO.2021.3 du 2 mars 2022</w:t>
      </w:r>
    </w:p>
    <w:p>
      <w:r>
        <w:t>IT: SG_GERICHTE BO.2021.3 del 2 marzo 2022</w:t>
      </w:r>
    </w:p>
    <w:p>
      <w:pPr>
        <w:pStyle w:val="Heading2"/>
      </w:pPr>
      <w:r>
        <w:t>Regeste</w:t>
      </w:r>
    </w:p>
    <w:p>
      <w:r>
        <w:t>Art. 33, Art. 59, Art. 200 Abs. 1 ZPO (SR 272): Streitigkeiten aus einem im Mietvertrag vor-gesehenen Vorkaufsrecht sind nicht den mietrechtlichen Klagen i.S.v. Art. 33 bzw. Art. 200 Abs. 1 ZPO zuzuordnen; die besonderen Zuständigkeitsvorschriften in Mietangelegenheiten finden demgemäss darauf keine Anwendung (Kantonsgericht, III. Zivilkammer, 2. März 2022, BO.2021.3).</w:t>
      </w:r>
    </w:p>
    <w:p>
      <w:pPr>
        <w:pStyle w:val="Heading2"/>
      </w:pPr>
      <w:r>
        <w:t>Volltext</w:t>
      </w:r>
    </w:p>
    <w:p>
      <w:r>
        <w:t>St.Gallen Kantonsgericht Zivilkammern (inkl. Einzelrichter) 02.03.2022 BO.2021.3</w:t>
      </w:r>
    </w:p>
    <w:p>
      <w:r>
        <w:t>Art. 33, Art. 59, Art. 200 Abs. 1 ZPO (SR 272): Streitigkeiten aus einem im Mietvertrag vor-gesehenen Vorkaufsrecht sind nicht den mietrechtlichen Klagen i.S.v. Art. 33 bzw. Art. 200 Abs. 1 ZPO zuzuordnen; die besonderen Zuständigkeitsvorschriften in Mietangelegenheiten finden demgemäss darauf keine Anwendung (Kantonsgericht, III. Zivilkammer, 2. März 2022, BO.2021.3).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