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BO.2020.52 vom 31. Mai 2022</w:t>
      </w:r>
    </w:p>
    <w:p>
      <w:r>
        <w:t>SG Gerichte, 2022-05-31, DE</w:t>
      </w:r>
    </w:p>
    <w:p>
      <w:r>
        <w:rPr>
          <w:b/>
        </w:rPr>
        <w:t xml:space="preserve">Quelle: </w:t>
      </w:r>
      <w:r>
        <w:t>https://mcp.opencaselaw.ch/entscheid/sg_gerichte_BO.2020.52</w:t>
      </w:r>
    </w:p>
    <w:p>
      <w:r>
        <w:t>FR: SG_GERICHTE BO.2020.52 du 31 mai 2022</w:t>
      </w:r>
    </w:p>
    <w:p>
      <w:r>
        <w:t>IT: SG_GERICHTE BO.2020.52 del 31 maggio 2022</w:t>
      </w:r>
    </w:p>
    <w:p>
      <w:pPr>
        <w:pStyle w:val="Heading2"/>
      </w:pPr>
      <w:r>
        <w:t>Regeste</w:t>
      </w:r>
    </w:p>
    <w:p>
      <w:r>
        <w:t>Art. 322, Art. 322d OR (SR 220): Qualifikation einer im Arbeitsvertrag vereinbarten variablen Vergütung als Gratifikation oder als Teil des Lohnes (Kantonsgericht, III. Zivilkammer, 31. Mai 2022, BO.2020.52)</w:t>
      </w:r>
    </w:p>
    <w:p>
      <w:pPr>
        <w:pStyle w:val="Heading2"/>
      </w:pPr>
      <w:r>
        <w:t>Volltext</w:t>
      </w:r>
    </w:p>
    <w:p>
      <w:r>
        <w:t>Publikationsplattform St.Galler Gerichte Fall-Nr.: BO.2020.52 Stelle: Kantonsgericht Rubrik: Zivilkammern (inkl. Einzelrichter) Publikationsdatum: 19.12.2022 Entscheiddatum: 31.05.2022 Entscheid Kantonsgericht, 31.05.2022 Art. 322, Art. 322d OR (SR 220): Qualifikation einer im Arbeitsvertrag vereinbarten variablen Vergütung als Gratifikation oder als Teil des Lohnes (Kantonsgericht, III. Zivilkammer, 31. Mai 2022, BO.2020.52) Sachverhalt (Zusammenfassung): Die Klägerin A.___ war bis Ende Oktober 2016 für ein Unternehmen der C.___-Gruppe ausserhalb der Schweiz tätig gewesen und übernahm per 1. November 2016 die Stelle als Associate Director Marketing/TA bei der C.___ GmbH (Beklagte), einer anderen Gesellschaft der C.___-Gruppe. Im schriftlichen Arbeitsvertrag findet sich betreffend der Vergütung der Klägerin folgende Klausel: Variable Pay:                  20% of annual base salary, pro rata temporis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Der Klägerin wurde aber in ihrer Mitarbeiterbeurteilung für das Jahr 2017 eine erfolgreiche Leistung bescheinigt. Sie machte in der Folge teilklageweise eine Forderung von Fr. 30'000.00 geltend, und © Kanton St.Gallen 2026 Seite 1/14</w:t>
      </w:r>
    </w:p>
    <w:p>
      <w:r>
        <w:t>Publikationsplattform St.Galler Gerichte stellte sich auf den Standpunkt, bei der hiervor zitierten Vertragsklausel handle es sich um einen festen Lohnbestandteil. Die Vorinstanz schützte die Klage. Aus den Erwägungen: III. […] 3.       In der Sache dreht sich der Streit zunächst um die Frage, ob die im Arbeitsvertrag vom 5. bzw. 17. Oktober 2016 vereinbarte variable Vergütung ("Variable Pay")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die variable Vergütung – sollte sie als (echte) Gratifikation zu qualifizieren sein – gegenüber dem Jahres-/ Monatsgehalt ("Annual/monthly Salary") akzessorischen Charakter aufweist (vgl. dazu BGE 142 III 381 E. 2.2.1 f.; BGE 141 III 407 E. 4.3.1 und 5; BGer 4A_155/2019 E. 4.1 f.), weshalb auf diese Thematik nicht weiter einzugehen ist. © Kanton St.Gallen 2026 Seite 2/14</w:t>
      </w:r>
    </w:p>
    <w:p>
      <w:r>
        <w:t>Publikationsplattform St.Galler Gerichte a)      Nach der bundesgerichtlichen Rechtsprechung muss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 Kanton St.Gallen 2026 Seite 3/14</w:t>
      </w:r>
    </w:p>
    <w:p>
      <w:r>
        <w:t>Publikationsplattform St.Galler Gerichte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 Kanton St.Gallen 2026 Seite 4/14</w:t>
      </w:r>
    </w:p>
    <w:p>
      <w:r>
        <w:t>Publikationsplattform St.Galler Gerichte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6.a)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 Kanton St.Gallen 2026 Seite 5/14</w:t>
      </w:r>
    </w:p>
    <w:p>
      <w:r>
        <w:t>Publikationsplattform St.Galler Gerichte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der Klägerin per 1. April 2017 und 1. Januar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20% des © Kanton St.Gallen 2026 Seite 6/14</w:t>
      </w:r>
    </w:p>
    <w:p>
      <w:r>
        <w:t>Publikationsplattform St.Galler Gerichte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Vertragsschluss Die Klägerin war unbestrittenermassen bereits vor ihrer Anstellung bei der Beklagten in einem Unternehmen der C.___-Gruppe bzw. des C.___-Konzerns tätig und brachte insofern ein gewisses Vorverständnis mit, was den Wortlaut der Vertragsklauseln anbelangt. So wurde sie rund einen Monat vor Abschluss des Arbeitsvertrags im Schreiben vom 1. September 2016 "Re: Your Local To Local move from the Netherlands to Switzerland" über die wesentlichen Bedingungen und Grundlagen ihrer neuen Anstellung in der Schweiz orientiert. Darin findet sich im zweiten Absatz unter der Überschrift "Compensation &amp; Benefits" (Vergütung &amp; Leistungen) folgender Satz: "You are eligible to participate in the C.___ Bonus Program, with an incentive opportunity equal to 20% of your Annual Base Salary, subject to the terms and conditions of the C.___ Bonus Program". Dies ist insofern bedeutsam, als die Beklagte damit den Willen zum Ausdruck brachte und die Klägerin dies offenbar auch so verstand, dass sie nach dem Willen der Beklagten berechtigt sei, mit einer Anreizmöglichkeit bzw. Bonusmöglichkeit in Höhe von 20% ihres jährlichen Grundgehalts und unter den entsprechenden Regeln und Bedingungen am C.___- Bonusprogramm teilzunehmen. Entgegen der Beklagten kann allein daraus jedoch nicht geschlossen werden, dass die Klägerin wirksam den "terms and conditions" bzw. © Kanton St.Gallen 2026 Seite 7/14</w:t>
      </w:r>
    </w:p>
    <w:p>
      <w:r>
        <w:t>Publikationsplattform St.Galler Gerichte Bedingungen des C.___-Bonusprogramms unterstellt wurde, fehlt doch im späteren Arbeitsvertrag vom 5. bzw. 17. Oktober 2016 ein entsprechender Verweis und ist nicht bekannt, ob und gegebenenfalls wann diese der Klägerin ausgehändigt wurden (vgl. zum Einbezug Allgemeiner Arbeitsbedingungen BSK OR I-Portmann/Rudolph, 7. Aufl., Art. 320 N 18; Streiff/von Kaenel/Rudolph, a.a.O., Art. 320 N 2 S. 132). bb)    Vertragswortlaut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Dies ist – im Hinblick auf die rechtliche Qualifikation – ein Indiz (in tatsächlicher Hinsicht) für einen variablen Lohnbestandteil und/oder eine unechte Gratifikation. Dass die entsprechenden Ziele im Arbeitsvertrag nicht vordefiniert wurden, spricht dabei zwar nicht zwingend gegen eine Qualifikation als variabler Lohnbestandteil,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Hingegen lässt die Aufnahme des Zusatzes "pro rata temporis" (in tatsächlicher Hinsicht) darauf schliessen, dass betreffend die Beurteilung des Erreichens der geschäftlichen und individuellen Ziele ein gewisses Ermessen der Beklagten beidseits gewollt war, da bei einer (unechten) Gratifikation anders als bei einem festen Lohnbestandteil ein pro rata temporis Anspruch nur dann besteht, wenn er, wie hier, verabredet ist (vgl. Art. 322d Abs. 2 OR). Hätten die Parteien der Beklagten in Bezug auf die fragliche variable Vergütung überhaupt kein Ermessen einräumen © Kanton St.Gallen 2026 Seite 8/14</w:t>
      </w:r>
    </w:p>
    <w:p>
      <w:r>
        <w:t>Publikationsplattform St.Galler Gerichte wollen, wäre die Aufnahme des Zusatzes "pro rata temporis" mithin überflüssig gewesen. cc)     nachträgliches Parteiverhalten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(s. dazu E. 5) für die Bemessung der fraglichen variablen Vergütung die hiervor erwähnte (Grund-)Formel festlegten. Legt die Arbeitgeberin bzw. legen die Parteien des Arbeitsvertrags gemeinsam eine Formel fest, in welcher bestimmt wird, inwiefern der Geschäftsgang und die Beurteilung der individuellen Leistungen der Arbeitnehmerin in die Bemessung der variablen Vergütung einfliessen, spricht dies einerseits dagegen, dass der Arbeitgeberin nach dem Willen der Parteien auch noch ein Ermessen zustehen sollte, bei unbefriedigendem Geschäftsgang unbesehen der Formel auf eine Ausrichtung zu verzichten. Andererseits ergibt sich aus dem konkreten Inhalt der vereinbarten Formel, dass die Höhe der variablen Vergütung entgegen der Auffassung der Klägerin nicht allein aus im Arbeitsvertrag vorbestimmten und/oder objektiv bestimmbaren Berechnungsgrundlagen, sondern mitunter auch vom IPF, also von der subjektiven Einschätzung der persönlichen Arbeitsleistungen durch die Arbeitgeberin, die Beklagte, abhängt (vgl. auch Arbeitsvertrag, S. 1: "achievement of the […] individual objectives"). Dabei mag, wie der "2017 Performance Review for A.___" zeigt, anhand von vorformulierten Aufgaben, Zieldetails, und Erfolgsmessungsfaktoren – deren Bestimmung aber wohl ebenfalls weitgehend im Ermessen der Beklagten lag – zwar jeweils eine gewisse Objektivität angestrebt worden sein, doch verblieb der Beklagten jedenfalls bei der Einordnung der Leistungen der Arbeitnehmerin unter die vorgegebenen Definitionen "Outstanding Performance", "Successful Performance" oder "Needs Improvement" (Performance Review 2017, S. 3 f.) sowie bei der Festlegung des exakten Zielerfüllungsgrads ein relativ weiter Ermessensspielraum. Selbst die Klägerin gesteht denn auch zu, dass diesbezüglich "allenfalls ein © Kanton St.Gallen 2026 Seite 9/14</w:t>
      </w:r>
    </w:p>
    <w:p>
      <w:r>
        <w:t>Publikationsplattform St.Galler Gerichte beschränktes Ermessen" bestanden haben möge. Damit liegt in rechtlicher Hinsicht aber kein fester Lohnbestandteil i.S.v. Art. 322 OR vor, und zwar unbesehen darum, ob die Beklagte diesen Ermessensspielraum für das Jahr 2017 allenfalls bereits ausübte (s. dazu E. 8.d hernach;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Kein Hinweis für ein gewolltes, auch in der Grundsatzfrage bezüglich der Ausrichtung bestehendes Ermessen der Beklagten ergibt sich entgegen deren Auffassung aus der am Ende der an alle Mitarbeiter der C.___-Gruppe bzw. des C.___-Konzerns versandten E-Mail von I.___,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KPI- Ergebnisse werden auch zur Berechnung der jährlichen Bonusauszahlung verwendet), wird deutlich, dass damit nicht der Anspruch auf einen Bonus, sondern die Berechtigung ("Eligibility") zur Teilnahme am C.___-Bonusprogramm gemeint ist, welche der Klägerin bekanntlich bereits im Schreiben vom 1. September 2016 ("You are eligible") ausdrücklich (s. lit. aa hiervor) und im Arbeitsvertrag durch Festlegung der Zielgrösse von 20% des Jahresgrundgehalts zugesichert worden war. dd)   Fazit © Kanton St.Gallen 2026 Seite 10/14</w:t>
      </w:r>
    </w:p>
    <w:p>
      <w:r>
        <w:t>Publikationsplattform St.Galler Gerichte Der Vertragswortlaut sowie die Art und Weise, wie die Parteien die fragliche Klausel nachträglich konkretisierten, lassen mit dem Regelbeweismass der vollen Überzeugung darauf schliessen, dass die Ausrichtung der variablen Vergütung nach dem übereinstimmenden wirklichen Parteiwillen im Grundsatz geschuldet sein und nur, aber immerhin in der Höhe (teilweise) vom Ermessen der Beklagten abhängen sollte. Bei diesem Beweisergebnis ist in antizipierender Beweiswürdigung auf die von der Beklagten beantragten Parteibefragungen zu verzichten. Der Vollständigkeit halber beigefügt sei, dass der Klägerin im Rahmen ihrer Anstellung für die C.___-Gruppe in den letzten vier aufeinanderfolgenden Jahren (2013-2016) stets und ohne Freiwilligkeitsvorbehalt ein Bonus (in unterschiedlicher Höhe) ausbezahlt wurde, was (in tatsächlicher Hinsicht) indiziell ebenfalls für ein Parteiverständnis im beschriebenen Sinn spricht (vgl. auch Arbeitsvertrag, S. 1: "Prior service years under another legal entity within the C.___ Group will be acknowledged in full [original hire date: 19. November 2012]). Selbst wenn aber die Beklagte, wie sie behauptet, einen anderen tatsächlichen Willen gehabt hätte, wovon nicht auszugehen ist, würde eine Auslegung nach dem Vertrauensprinzip zum gleichen Ergebnis führen, zumal der Vertragstext – wie bereits erwähnt – keinen generellen Ermessensvorbehalt enthält und die Zahlung im März basierend auf dem Erreichen der vereinbarten geschäftlichen und individuellen Ziele erfolgen sollte, was der unbestrittenen und daher als vereinbart zu betrachtenden Formel entsprechend u.a. eine Beurteilung der individuellen Leistungen der Arbeitnehmerin durch die Arbeitgeberin beinhaltet. Mit einer generellen Kürzungs- bzw. Streichungsmöglichkeit, wie sie Brühwiler (Einzelarbeitsvertrag, 3. Aufl., Art. 322d OR N 5) unter bestimmten Voraussetzungen als stillschweigend vereinbart ansehen will, brauchte die Klägerin daher nach Treu und Glauben nicht zu rechnen. Rechtlich gesehen liegt also eine unechte Gratifikation vor, die im Grundsatz geschuldet und lediglich, was die Festsetzung der Höhe betrifft, (teilweise) im Ermessen der Arbeitgeberin steht (vgl. die in E. 3.c/aa hiervor beschriebene Situation). 7.       Die Beklagte hatte demnach nicht das Recht, die Auszahlung einer variablen Vergütung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 Kanton St.Gallen 2026 Seite 11/14</w:t>
      </w:r>
    </w:p>
    <w:p>
      <w:r>
        <w:t>Publikationsplattform St.Galler Gerichte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die Arbeitnehmerin nach Treu und Glauben nicht annehmen muss, sie seien für die Ausrichtung der Gratifikation bzw. deren Umfang von Belang (BGE 136 III 313 E. 2 und 2.3; BSK OR I-Portmann/ Rudolph, 7. Aufl., Art. 322d N 13; BK-Rehbinder/Stöckli, 3. Aufl., Art. 322d OR N 17). Es stellt sich somit die Frage, wie die variable Vergütung für das Jahr 2017 konkret zu berechnen ist. 8.a)    […]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(Arbeitsvertrag, S. 2 Ziff. 1.5) – für Änderungen und Ergänzungen einen Schriftlichkeitsvorbehalt vorsieht (BSK OR I-Schwenzer/ Fountoulakis, 7. Aufl., Art. 16 N 10; BK-Müller, 2018, Art. 16 OR N 100 ff.; Koller, OR AT, 2017, N 12.163; BGE 125 III 263 E. 4.c; BGE 105 II 75 E. 1; BGer 4A_234/2017 E. 5.1 f.; BGer 4A_619/2016 E. 7.3.1.2). Das gilt umso mehr, wenn der betreffende Punkt im Arbeitsvertrag (zumindest implizit) der späteren Bestimmung durch die Parteien vorbehalten blieb (Arbeitsvertrag, S. 1: "[…] of the agreed business and individual objectives"). Selbst Vertragsverschlechterungen können mündlich oder stillschweigend wirksam werden, z.B., wenn sie dem Arbeitnehmer bekanntgegeben und hernach gehandhabt werden, ohne dass dieser protestiert (Streiff/von Kaenel/ Rudolph, a.a.O., Art. 320 N 4 S. 136 m.w.H.). Mit der besagten E-Mail von I.___ vom 5. April 2017 mit dem Betreff "C.___ Key Performance Indicators (KPIs) for 2017", welche unbestrittenermassen an alle Mitarbeiter der C.___-Gruppe versandt wurde, © Kanton St.Gallen 2026 Seite 12/14</w:t>
      </w:r>
    </w:p>
    <w:p>
      <w:r>
        <w:t>Publikationsplattform St.Galler Gerichte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ihr gegenüber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der Arbeitnehmerin dar, hängen die konkreten Auswirkungen doch letztlich von der künftigen Entwicklung der Geschäftszahlen ab. Damit ist die Änderung mangels Protestes als wirksam zu betrachten. Man könnte sich auch fragen, ob es nicht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d)      Die Beklagte bescheinigte der Klägerin für das Jahr 2017 eine "Successful Performance" (Performance Review 2017, S. 4). In ihrer Klageantwort gab sie zunächst an, dass dies bezogen auf den IPF praxisgemäss einen Wert zwischen 90% und 110% ergeben hätte (S. 22), worauf sie der Klägerin etwas später einen Wert von nur, aber immerhin 90% zugestand (S. 33). Die Klägerin beharrte in ihrer Replik auf einem Wert von 100%, dem Mittelwert zwischen 90% und 100% [recte: 110%] (S. 22). Etwas unverständlich ist vor diesem Hintergrund, weshalb die Klägerin in ihrer Berufungsantwort davon spricht, die Beklagte habe ihr diesbezügliches Ermessen bereits im Sinne einer Zielerreichung von 130% ausgeübt, hat diese die Leistungen der Klägerin doch vielmehr bloss mit 90% bewertet. Bei einer Beanstandung der Evaluation der Leistung der Arbeitnehmerin durch die Arbeitgeberin, ist es zudem nicht Sache des Gerichts, sich in das Verhalten des Unternehmens einzumischen und selbst eine Bewertung der Leistungen der Arbeitnehmerin vorzunehmen, die einen Bonus © Kanton St.Gallen 2026 Seite 13/14</w:t>
      </w:r>
    </w:p>
    <w:p>
      <w:r>
        <w:t>Publikationsplattform St.Galler Gerichte beansprucht. Die Bewertung ist der Arbeitgeberin vorbehalten, die sich dabei jedoch an die Regeln von Treu und Glauben halten muss, sich mithin nicht widersprüchlich verhalten oder gestützt auf sachfremde Motive eine negative Bewertung abgeben darf (BGer 4A_705/2011 E. 5). Solches ist vorliegend indes nicht ersichtlich, liegt die Bewertung mit 90% doch innerhalb der kommunizierten (und nach gewöhnlicher Lebenserfahrung erwartbaren) Bandbreite für eine "Successful Performance" (vgl. Jahresendrückblick 2017, S. 26) und erscheint aufgrund der Bemerkungen im Performance Review 2017 (S. 3 f.) jedenfalls nicht derart stossend, dass sie sich nur mit sachfremden Motiven erklären liesse. Somit ist von einem IPF von 90% auszugehen. e)      Da nunmehr alle Faktoren bekannt sind, lässt sich der Bonusanspruch der Klägerin für das Jahr 2017 berechnen. Er beträgt Fr. 27'987.05 brutto (Fr. 171'275.10 EBS x 20% BT x 90.78% BPF x 90% IPF). 9.       In teilweiser Gutheissung der Berufung hat die Beklagte der Klägerin für das Jahr 2017 somit einen Bonus in Höhe von Fr. 27'987.05 brutto – anstatt der teilklageweise verlangten und erstinstanzlich zugesprochenen Fr. 30'000.00 brutto – zuzüglich 5% Zins seit 31. März 2018 zu bezahlen (die erstinstanzliche Zinsregelung wurde im Berufungsverfahren nicht beanstandet). […]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