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BO.2019.16 vom 2. Juni 2020</w:t>
      </w:r>
    </w:p>
    <w:p>
      <w:r>
        <w:t>SG Gerichte, 2020-06-02, DE</w:t>
      </w:r>
    </w:p>
    <w:p>
      <w:r>
        <w:rPr>
          <w:b/>
        </w:rPr>
        <w:t xml:space="preserve">Quelle: </w:t>
      </w:r>
      <w:r>
        <w:t>https://mcp.opencaselaw.ch/entscheid/sg_gerichte_BO.2019.16</w:t>
      </w:r>
    </w:p>
    <w:p>
      <w:r>
        <w:t>FR: SG_GERICHTE BO.2019.16 du 2 juin 2020</w:t>
      </w:r>
    </w:p>
    <w:p>
      <w:r>
        <w:t>IT: SG_GERICHTE BO.2019.16 del 2 giugno 2020</w:t>
      </w:r>
    </w:p>
    <w:p>
      <w:pPr>
        <w:pStyle w:val="Heading2"/>
      </w:pPr>
      <w:r>
        <w:t>Regeste</w:t>
      </w:r>
    </w:p>
    <w:p>
      <w:r>
        <w:t>Art. 184 Abs. 1, Art. 363 und Art. 394 Abs. 1 OR (SR 220): Vertragsqualifikation. Abgrenzung zwischen Kauf- und Werk(lieferungs)vertrag. In casu gemischter Vertrag aus Elementen des Kaufvertrags und des Auftrags (Kantonsgericht, III. Zivilkammer, 2. Juni 2020, BO.2019.16).</w:t>
      </w:r>
    </w:p>
    <w:p>
      <w:pPr>
        <w:pStyle w:val="Heading2"/>
      </w:pPr>
      <w:r>
        <w:t>Volltext</w:t>
      </w:r>
    </w:p>
    <w:p>
      <w:r>
        <w:t>St.Gallen Kantonsgericht Zivilkammern (inkl. Einzelrichter) 02.06.2020 BO.2019.16</w:t>
      </w:r>
    </w:p>
    <w:p>
      <w:r>
        <w:t>Art. 184 Abs. 1, Art. 363 und Art. 394 Abs. 1 OR (SR 220): Vertragsqualifikation. Abgrenzung zwischen Kauf- und Werk(lieferungs)vertrag. In casu gemischter Vertrag aus Elementen des Kaufvertrags und des Auftrags (Kantonsgericht, III. Zivilkammer, 2. Juni 2020, BO.2019.16).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