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BO.2017.47 vom 17. August 2018</w:t>
      </w:r>
    </w:p>
    <w:p>
      <w:r>
        <w:t>SG Gerichte, 2018-08-17, DE</w:t>
      </w:r>
    </w:p>
    <w:p>
      <w:r>
        <w:rPr>
          <w:b/>
        </w:rPr>
        <w:t xml:space="preserve">Quelle: </w:t>
      </w:r>
      <w:r>
        <w:t>https://mcp.opencaselaw.ch/entscheid/sg_gerichte_BO.2017.47</w:t>
      </w:r>
    </w:p>
    <w:p>
      <w:r>
        <w:t>FR: SG_GERICHTE BO.2017.47 du 17 août 2018</w:t>
      </w:r>
    </w:p>
    <w:p>
      <w:r>
        <w:t>IT: SG_GERICHTE BO.2017.47 del 17 agosto 2018</w:t>
      </w:r>
    </w:p>
    <w:p>
      <w:pPr>
        <w:pStyle w:val="Heading2"/>
      </w:pPr>
      <w:r>
        <w:t>Regeste</w:t>
      </w:r>
    </w:p>
    <w:p>
      <w:r>
        <w:t>Art. 7.3.2, Art. 13 AVE GAV für das Maler- und Gipsergewerbe (aktuelle Fassung: BBl 2016 7247); Art. 324a OR (SR.220). Der in Art 7.3.2 GAV statuierte Kündigungsschutz während der Dauer von Taggeldleistungen gilt nicht, wenn Letztere nicht aufgrund einer Rechtspflicht erfolgen, sondern eine reine Kulanzleistung sind (Kantonsgericht, III. Zivilkammer, 17. August 2018, BO.2017.47).</w:t>
      </w:r>
    </w:p>
    <w:p>
      <w:pPr>
        <w:pStyle w:val="Heading2"/>
      </w:pPr>
      <w:r>
        <w:t>Volltext</w:t>
      </w:r>
    </w:p>
    <w:p>
      <w:r>
        <w:t>St.Gallen Kantonsgericht Zivilkammern (inkl. Einzelrichter) 17.08.2018 BO.2017.47</w:t>
      </w:r>
    </w:p>
    <w:p>
      <w:r>
        <w:t>Art. 7.3.2, Art. 13 AVE GAV für das Maler- und Gipsergewerbe (aktuelle Fassung: BBl 2016 7247); Art. 324a OR (SR.220). Der in Art 7.3.2 GAV statuierte Kündigungsschutz während der Dauer von Taggeldleistungen gilt nicht, wenn Letztere nicht aufgrund einer Rechtspflicht erfolgen, sondern eine reine Kulanzleistung sind (Kantonsgericht, III. Zivilkammer, 17. August 2018, BO.2017.47).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