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BO.2017.36 vom 19. Februar 2019</w:t>
      </w:r>
    </w:p>
    <w:p>
      <w:r>
        <w:t>SG Gerichte, 2019-02-19, DE</w:t>
      </w:r>
    </w:p>
    <w:p>
      <w:r>
        <w:rPr>
          <w:b/>
        </w:rPr>
        <w:t xml:space="preserve">Quelle: </w:t>
      </w:r>
      <w:r>
        <w:t>https://mcp.opencaselaw.ch/entscheid/sg_gerichte_BO.2017.36</w:t>
      </w:r>
    </w:p>
    <w:p>
      <w:r>
        <w:t>FR: SG_GERICHTE BO.2017.36 du 19 février 2019</w:t>
      </w:r>
    </w:p>
    <w:p>
      <w:r>
        <w:t>IT: SG_GERICHTE BO.2017.36 del 19 febbraio 2019</w:t>
      </w:r>
    </w:p>
    <w:p>
      <w:pPr>
        <w:pStyle w:val="Heading2"/>
      </w:pPr>
      <w:r>
        <w:t>Regeste</w:t>
      </w:r>
    </w:p>
    <w:p>
      <w:r>
        <w:t>Art. 494 Abs. 3 ZGB (SR 210): Anfechtungsklage; Vereinbarkeit lebzeitiger Schenkungen mit einem Erbvertrag; Vertragsauslegung; Ausgleichungsdispens.Art. 527 Ziff. 1 ZGB (SR 210): Herabsetzung; Qualifikation von Grundstücksübertragungen mit Nutzniessungs- bzw. Wohnrechtsvorbehalt zugunsten der (späteren) Erblasserin; Beweis des Zuwendungswillens der Erblasserin (Kantonsgericht, I. Zivilkammer, 19. Februar 2019, BO.2017.36).</w:t>
      </w:r>
    </w:p>
    <w:p>
      <w:pPr>
        <w:pStyle w:val="Heading2"/>
      </w:pPr>
      <w:r>
        <w:t>Volltext</w:t>
      </w:r>
    </w:p>
    <w:p>
      <w:r>
        <w:t>St.Gallen Kantonsgericht Zivilkammern (inkl. Einzelrichter) 19.02.2019 BO.2017.36</w:t>
      </w:r>
    </w:p>
    <w:p>
      <w:r>
        <w:t>Art. 494 Abs. 3 ZGB (SR 210): Anfechtungsklage; Vereinbarkeit lebzeitiger Schenkungen mit einem Erbvertrag; Vertragsauslegung; Ausgleichungsdispens.Art. 527 Ziff. 1 ZGB (SR 210): Herabsetzung; Qualifikation von Grundstücksübertragungen mit Nutzniessungs- bzw. Wohnrechtsvorbehalt zugunsten der (späteren) Erblasserin; Beweis des Zuwendungswillens der Erblasserin (Kantonsgericht, I. Zivilkammer, 19. Februar 2019, BO.2017.36).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