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BO.2017.27 vom 18. Januar 2019</w:t>
      </w:r>
    </w:p>
    <w:p>
      <w:r>
        <w:t>SG Gerichte, 2019-01-18, DE</w:t>
      </w:r>
    </w:p>
    <w:p>
      <w:r>
        <w:rPr>
          <w:b/>
        </w:rPr>
        <w:t xml:space="preserve">Quelle: </w:t>
      </w:r>
      <w:r>
        <w:t>https://mcp.opencaselaw.ch/entscheid/sg_gerichte_BO.2017.27</w:t>
      </w:r>
    </w:p>
    <w:p>
      <w:r>
        <w:t>FR: SG_GERICHTE BO.2017.27 du 18 janvier 2019</w:t>
      </w:r>
    </w:p>
    <w:p>
      <w:r>
        <w:t>IT: SG_GERICHTE BO.2017.27 del 18 gennaio 2019</w:t>
      </w:r>
    </w:p>
    <w:p>
      <w:pPr>
        <w:pStyle w:val="Heading2"/>
      </w:pPr>
      <w:r>
        <w:t>Regeste</w:t>
      </w:r>
    </w:p>
    <w:p>
      <w:r>
        <w:t>Art. 42 Abs. 1 und 2, Art. 46 Abs. 1 OR (SR 220): Die Bestimmung des hypothetischen Ein-kommens kann insbesondere dann, wenn die Geschädigte einen bevorstehenden und wegen des Unfalls vereitelten Berufswechsel behauptet, Beweisschwierigkeiten mit sich bringen und eine Schadensschätzung im Sinn von Art. 42 Abs. 2 OR erforderlich machen. Eine Schätzung auf Grundlage eines anderen als des im Unfallzeitpunkt ausgeübten Beru-fes erfolgt jedoch erst, wenn sich die Annahme eines Wechsels aufgrund konkreter, von der Geschädigten vorgebrachter und nachgewiesener Anhaltspunkte aufdrängt (Kantonsge-richt, III. Zivilkammer, 18. Januar 2019, BO.2017.27).</w:t>
      </w:r>
    </w:p>
    <w:p>
      <w:pPr>
        <w:pStyle w:val="Heading2"/>
      </w:pPr>
      <w:r>
        <w:t>Volltext</w:t>
      </w:r>
    </w:p>
    <w:p>
      <w:r>
        <w:t>St.Gallen Kantonsgericht Zivilkammern (inkl. Einzelrichter) 18.01.2019 BO.2017.27</w:t>
      </w:r>
    </w:p>
    <w:p>
      <w:r>
        <w:t>Art. 42 Abs. 1 und 2, Art. 46 Abs. 1 OR (SR 220): Die Bestimmung des hypothetischen Ein-kommens kann insbesondere dann, wenn die Geschädigte einen bevorstehenden und wegen des Unfalls vereitelten Berufswechsel behauptet, Beweisschwierigkeiten mit sich bringen und eine Schadensschätzung im Sinn von Art. 42 Abs. 2 OR erforderlich machen. Eine Schätzung auf Grundlage eines anderen als des im Unfallzeitpunkt ausgeübten Beru-fes erfolgt jedoch erst, wenn sich die Annahme eines Wechsels aufgrund konkreter, von der Geschädigten vorgebrachter und nachgewiesener Anhaltspunkte aufdrängt (Kantonsge-richt, III. Zivilkammer, 18. Januar 2019, BO.2017.27).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