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BO.2017.12 vom 12. Januar 2018</w:t>
      </w:r>
    </w:p>
    <w:p>
      <w:r>
        <w:t>SG Gerichte, 2018-01-12, DE</w:t>
      </w:r>
    </w:p>
    <w:p>
      <w:r>
        <w:rPr>
          <w:b/>
        </w:rPr>
        <w:t xml:space="preserve">Quelle: </w:t>
      </w:r>
      <w:r>
        <w:t>https://mcp.opencaselaw.ch/entscheid/sg_gerichte_BO.2017.12</w:t>
      </w:r>
    </w:p>
    <w:p>
      <w:r>
        <w:t>FR: SG_GERICHTE BO.2017.12 du 12 janvier 2018</w:t>
      </w:r>
    </w:p>
    <w:p>
      <w:r>
        <w:t>IT: SG_GERICHTE BO.2017.12 del 12 gennaio 2018</w:t>
      </w:r>
    </w:p>
    <w:p>
      <w:pPr>
        <w:pStyle w:val="Heading2"/>
      </w:pPr>
      <w:r>
        <w:t>Regeste</w:t>
      </w:r>
    </w:p>
    <w:p>
      <w:r>
        <w:t>Art. 22 Abs. 2 und Art. 216 Abs. 2 OR (SR 220): Eine Verpflichtung im Hinblick auf einen künftigen Grundstückkaufvertrag in einem Reservationsvertrag untersteht den Formvorschriften von Art. 22 Abs. 2 und Art. 216 Abs. 2 OR. Dem Formularzwang nicht unterstehen einerseits Zusatzabreden, die vom zu beurkundenden Vorvertrag auch losgelöst als sinnvolles Ganzes denkbar sind. Nicht formgebunden sind andererseits auch Klauseln, die den Ersatz des negativen Interesses zum Gegenstand haben, insbesondere in Bezug auf die Haftung aus culpa in contrahendo.Art. 67 OR (SR 220): Die relative Verjährungsfrist in Bezug auf den bereicherungsrechtlichen Rückforderungsanspruch beginnt ab dem Zeitpunkt zu laufen, ab welchem sich objektiv absehen liess, dass das Grundstückgeschäft nicht mehr stattfinden würde (Kantonsgericht, III. Zivilkammer, 12. Januar 2018, BO.2017.12).Die gegen den Entscheid des Kantonsgerichts erhobene Beschwerde wurde vom Bundesgericht abgewiesen, soweit es darauf eintrat (BGer 4A_109/2018 vom 8. November 2018).</w:t>
      </w:r>
    </w:p>
    <w:p>
      <w:pPr>
        <w:pStyle w:val="Heading2"/>
      </w:pPr>
      <w:r>
        <w:t>Volltext</w:t>
      </w:r>
    </w:p>
    <w:p>
      <w:r>
        <w:t>St.Gallen Kantonsgericht Zivilkammern (inkl. Einzelrichter) 12.01.2018 BO.2017.12</w:t>
      </w:r>
    </w:p>
    <w:p>
      <w:r>
        <w:t>Art. 22 Abs. 2 und Art. 216 Abs. 2 OR (SR 220): Eine Verpflichtung im Hinblick auf einen künftigen Grundstückkaufvertrag in einem Reservationsvertrag untersteht den Formvorschriften von Art. 22 Abs. 2 und Art. 216 Abs. 2 OR. Dem Formularzwang nicht unterstehen einerseits Zusatzabreden, die vom zu beurkundenden Vorvertrag auch losgelöst als sinnvolles Ganzes denkbar sind. Nicht formgebunden sind andererseits auch Klauseln, die den Ersatz des negativen Interesses zum Gegenstand haben, insbesondere in Bezug auf die Haftung aus culpa in contrahendo.Art. 67 OR (SR 220): Die relative Verjährungsfrist in Bezug auf den bereicherungsrechtlichen Rückforderungsanspruch beginnt ab dem Zeitpunkt zu laufen, ab welchem sich objektiv absehen liess, dass das Grundstückgeschäft nicht mehr stattfinden würde (Kantonsgericht, III. Zivilkammer, 12. Januar 2018, BO.2017.12).Die gegen den Entscheid des Kantonsgerichts erhobene Beschwerde wurde vom Bundesgericht abgewiesen, soweit es darauf eintrat (BGer 4A_109/2018 vom 8. November 2018).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