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BO.2016.47 vom 9. Juni 2017</w:t>
      </w:r>
    </w:p>
    <w:p>
      <w:r>
        <w:t>SG Gerichte, 2017-06-09, DE</w:t>
      </w:r>
    </w:p>
    <w:p>
      <w:r>
        <w:rPr>
          <w:b/>
        </w:rPr>
        <w:t xml:space="preserve">Quelle: </w:t>
      </w:r>
      <w:r>
        <w:t>https://mcp.opencaselaw.ch/entscheid/sg_gerichte_BO.2016.47</w:t>
      </w:r>
    </w:p>
    <w:p>
      <w:r>
        <w:t>FR: SG_GERICHTE BO.2016.47 du 9 juin 2017</w:t>
      </w:r>
    </w:p>
    <w:p>
      <w:r>
        <w:t>IT: SG_GERICHTE BO.2016.47 del 9 giugno 2017</w:t>
      </w:r>
    </w:p>
    <w:p>
      <w:pPr>
        <w:pStyle w:val="Heading2"/>
      </w:pPr>
      <w:r>
        <w:t>Regeste</w:t>
      </w:r>
    </w:p>
    <w:p>
      <w:r>
        <w:t>Art. 336c Abs. 1 lit. b und Art. 336c Abs. 2 OR: Die Sperrfrist gemäss Art. 336c Abs. 1 lit. b OR erneuert sich nicht mit Anbruch eines neuen Dienstjahres, sondern mit jedem neuen Unfall und jeder neuen Krankheit; ein blosser Rückfall löst dagegen keine neue Sperrfrist aus. Da Art. 336c Abs. 2 OR ein einheitlicher Schutzgedanke zugrunde liegt, hat dies zur Folge, dass dort, wo ein Arbeitnehmer vor und nach der Kündigung aus der- oder denselben Ursachen wiederkehrend an der Arbeit verhindert ist ("Rückfall"), eine Anrechnung stattfindet und nach der Kündigung nur noch der Rest einer nicht vollständig konsumierten Sperrfrist in Anspruch genommen werden kann (Kantonsgericht, III. Zivilkammer, 9. Juni 2017, BO.2016.47).</w:t>
      </w:r>
    </w:p>
    <w:p>
      <w:pPr>
        <w:pStyle w:val="Heading2"/>
      </w:pPr>
      <w:r>
        <w:t>Volltext</w:t>
      </w:r>
    </w:p>
    <w:p>
      <w:r>
        <w:t>St.Gallen Kantonsgericht Zivilkammern (inkl. Einzelrichter) 09.06.2017 BO.2016.47</w:t>
      </w:r>
    </w:p>
    <w:p>
      <w:r>
        <w:t>Art. 336c Abs. 1 lit. b und Art. 336c Abs. 2 OR: Die Sperrfrist gemäss Art. 336c Abs. 1 lit. b OR erneuert sich nicht mit Anbruch eines neuen Dienstjahres, sondern mit jedem neuen Unfall und jeder neuen Krankheit; ein blosser Rückfall löst dagegen keine neue Sperrfrist aus. Da Art. 336c Abs. 2 OR ein einheitlicher Schutzgedanke zugrunde liegt, hat dies zur Folge, dass dort, wo ein Arbeitnehmer vor und nach der Kündigung aus der- oder denselben Ursachen wiederkehrend an der Arbeit verhindert ist ("Rückfall"), eine Anrechnung stattfindet und nach der Kündigung nur noch der Rest einer nicht vollständig konsumierten Sperrfrist in Anspruch genommen werden kann (Kantonsgericht, III. Zivilkammer, 9. Juni 2017, BO.2016.47).</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