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BO.2015.34 vom 6. Juli 2018</w:t>
      </w:r>
    </w:p>
    <w:p>
      <w:r>
        <w:t>SG Gerichte, 2018-07-06, DE</w:t>
      </w:r>
    </w:p>
    <w:p>
      <w:r>
        <w:rPr>
          <w:b/>
        </w:rPr>
        <w:t xml:space="preserve">Quelle: </w:t>
      </w:r>
      <w:r>
        <w:t>https://mcp.opencaselaw.ch/entscheid/sg_gerichte_BO.2015.34</w:t>
      </w:r>
    </w:p>
    <w:p>
      <w:r>
        <w:t>FR: SG_GERICHTE BO.2015.34 du 6 juillet 2018</w:t>
      </w:r>
    </w:p>
    <w:p>
      <w:r>
        <w:t>IT: SG_GERICHTE BO.2015.34 del 6 luglio 2018</w:t>
      </w:r>
    </w:p>
    <w:p>
      <w:pPr>
        <w:pStyle w:val="Heading2"/>
      </w:pPr>
      <w:r>
        <w:t>Regeste</w:t>
      </w:r>
    </w:p>
    <w:p>
      <w:r>
        <w:t>Art. 2 Abs. 2 ZGB (SR 210); Art. 98 Abs. 4 aEG-ZGB (sGS 911.1): Die Klägerin hat sich nicht dafür zu rechtfertigen, dass sie die Einhaltung der kantonalen Abstandsvorschriften verlangt; die Anrufung dieser ist nur ganz ausnahmsweise rechtsmissbräuchlich, so beispielsweise, wenn sie ohne irgendein sachliches Interesse erfolgt, was – unter Mitwirkung der Klägerin – von der Gegenpartei zu beweisen ist.Art. 641 Abs. 1, Art. 679 Abs. 1 und Art. 702 ZGB: Privatrechtliche und öffentlich-rechtliche Vorschriften sind im Grundsatz selbstständig nebeneinander anwendbar; lediglich im Konfliktfall können öffentlich-rechtliche Bestimmungen dem Zivilrecht vorgehen.Art. 342 ZPO (SR 272): Hängt die Durchsetzbarkeit eines nachbarrechtlichen Beseitigungsanspruchs von der Erteilung einer öffentlich-rechtlichen Bewilligung ab, kann dies einen begründeten Ausnahmefall darstellen, der den Erlass eines bedingten Entscheids oder unter Umständen die Sistierung des Zivilverfahrens rechtfertigt (Kantonsgericht, I. Zivilkammer, 6. Juli 2018, BO.2015.34).</w:t>
      </w:r>
    </w:p>
    <w:p>
      <w:pPr>
        <w:pStyle w:val="Heading2"/>
      </w:pPr>
      <w:r>
        <w:t>Volltext</w:t>
      </w:r>
    </w:p>
    <w:p>
      <w:r>
        <w:t>St.Gallen Kantonsgericht Zivilkammern (inkl. Einzelrichter) 06.07.2018 BO.2015.34</w:t>
      </w:r>
    </w:p>
    <w:p>
      <w:r>
        <w:t>Art. 2 Abs. 2 ZGB (SR 210); Art. 98 Abs. 4 aEG-ZGB (sGS 911.1): Die Klägerin hat sich nicht dafür zu rechtfertigen, dass sie die Einhaltung der kantonalen Abstandsvorschriften verlangt; die Anrufung dieser ist nur ganz ausnahmsweise rechtsmissbräuchlich, so beispielsweise, wenn sie ohne irgendein sachliches Interesse erfolgt, was – unter Mitwirkung der Klägerin – von der Gegenpartei zu beweisen ist.Art. 641 Abs. 1, Art. 679 Abs. 1 und Art. 702 ZGB: Privatrechtliche und öffentlich-rechtliche Vorschriften sind im Grundsatz selbstständig nebeneinander anwendbar; lediglich im Konfliktfall können öffentlich-rechtliche Bestimmungen dem Zivilrecht vorgehen.Art. 342 ZPO (SR 272): Hängt die Durchsetzbarkeit eines nachbarrechtlichen Beseitigungsanspruchs von der Erteilung einer öffentlich-rechtlichen Bewilligung ab, kann dies einen begründeten Ausnahmefall darstellen, der den Erlass eines bedingten Entscheids oder unter Umständen die Sistierung des Zivilverfahrens rechtfertigt (Kantonsgericht, I. Zivilkammer, 6. Juli 2018, BO.2015.34).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