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BO.2012.79 vom 20. März 2013</w:t>
      </w:r>
    </w:p>
    <w:p>
      <w:r>
        <w:t>SG Gerichte, 2013-03-20, DE</w:t>
      </w:r>
    </w:p>
    <w:p>
      <w:r>
        <w:rPr>
          <w:b/>
        </w:rPr>
        <w:t xml:space="preserve">Quelle: </w:t>
      </w:r>
      <w:r>
        <w:t>https://mcp.opencaselaw.ch/entscheid/sg_gerichte_BO.2012.79</w:t>
      </w:r>
    </w:p>
    <w:p>
      <w:r>
        <w:t>FR: SG_GERICHTE BO.2012.79 du 20 mars 2013</w:t>
      </w:r>
    </w:p>
    <w:p>
      <w:r>
        <w:t>IT: SG_GERICHTE BO.2012.79 del 20 marzo 2013</w:t>
      </w:r>
    </w:p>
    <w:p>
      <w:pPr>
        <w:pStyle w:val="Heading2"/>
      </w:pPr>
      <w:r>
        <w:t>Regeste</w:t>
      </w:r>
    </w:p>
    <w:p>
      <w:r>
        <w:t>Auslegung einer Gerichtsstandsklausel "Gerichtsstand ist St. Gallen". Beantwortung der Frage, ob mit der Ortsangabe St. Gallen das Kreisgericht der Stadt St. Gallen für zuständig erklärt worden ist, oder ob beim gemäss ZPO örtlich zuständigen Kreisgericht des Kantons St. Gallen Klage erhoben werden kann (Kantonsgericht St. Gallen, III. Zivilkammer, 20. März 2013, BO.2012.79).</w:t>
      </w:r>
    </w:p>
    <w:p>
      <w:pPr>
        <w:pStyle w:val="Heading2"/>
      </w:pPr>
      <w:r>
        <w:t>Volltext</w:t>
      </w:r>
    </w:p>
    <w:p>
      <w:r>
        <w:t>St.Gallen Kantonsgericht Zivilkammern (inkl. Einzelrichter) 20.03.2013 BO.2012.79</w:t>
      </w:r>
    </w:p>
    <w:p>
      <w:r>
        <w:t>Auslegung einer Gerichtsstandsklausel "Gerichtsstand ist St. Gallen". Beantwortung der Frage, ob mit der Ortsangabe St. Gallen das Kreisgericht der Stadt St. Gallen für zuständig erklärt worden ist, oder ob beim gemäss ZPO örtlich zuständigen Kreisgericht des Kantons St. Gallen Klage erhoben werden kann (Kantonsgericht St. Gallen, III. Zivilkammer, 20. März 2013, BO.2012.79).</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