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BES.2016.43 vom 28. November 2016</w:t>
      </w:r>
    </w:p>
    <w:p>
      <w:r>
        <w:t>SG Gerichte, 2016-11-28, DE</w:t>
      </w:r>
    </w:p>
    <w:p>
      <w:r>
        <w:rPr>
          <w:b/>
        </w:rPr>
        <w:t xml:space="preserve">Quelle: </w:t>
      </w:r>
      <w:r>
        <w:t>https://mcp.opencaselaw.ch/entscheid/sg_gerichte_BES.2016.43</w:t>
      </w:r>
    </w:p>
    <w:p>
      <w:r>
        <w:t>FR: SG_GERICHTE BES.2016.43 du 28 novembre 2016</w:t>
      </w:r>
    </w:p>
    <w:p>
      <w:r>
        <w:t>IT: SG_GERICHTE BES.2016.43 del 28 novembre 2016</w:t>
      </w:r>
    </w:p>
    <w:p>
      <w:pPr>
        <w:pStyle w:val="Heading2"/>
      </w:pPr>
      <w:r>
        <w:t>Regeste</w:t>
      </w:r>
    </w:p>
    <w:p>
      <w:r>
        <w:t>Art. 219, Art. 229 Abs. 2 und Art. 253 ZPO (SR 272). Ordnet der Summarrichter einen zweiten Schriftenwechsel oder die Durchführung einer Verhandlung an, dürfen in der schriftlichen Replik und Duplik bzw. in den ersten Vorträgen anlässlich der Verhandlung Noven unbeschränkt vorgebracht werden (Kantonsgericht, Einzelrichter für Beschwerden SchKG, 28. November 2016, BES.2016.43).</w:t>
      </w:r>
    </w:p>
    <w:p>
      <w:pPr>
        <w:pStyle w:val="Heading2"/>
      </w:pPr>
      <w:r>
        <w:t>Volltext</w:t>
      </w:r>
    </w:p>
    <w:p>
      <w:r>
        <w:t>St.Gallen Kantonsgericht Zivilkammern (inkl. Einzelrichter) 28.11.2016 BES.2016.43</w:t>
      </w:r>
    </w:p>
    <w:p>
      <w:r>
        <w:t>Art. 219, Art. 229 Abs. 2 und Art. 253 ZPO (SR 272). Ordnet der Summarrichter einen zweiten Schriftenwechsel oder die Durchführung einer Verhandlung an, dürfen in der schriftlichen Replik und Duplik bzw. in den ersten Vorträgen anlässlich der Verhandlung Noven unbeschränkt vorgebracht werden (Kantonsgericht, Einzelrichter für Beschwerden SchKG, 28. November 2016, BES.2016.43).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