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BE.2014.27 vom 29. August 2014</w:t>
      </w:r>
    </w:p>
    <w:p>
      <w:r>
        <w:t>SG Gerichte, 2014-08-29, DE</w:t>
      </w:r>
    </w:p>
    <w:p>
      <w:r>
        <w:rPr>
          <w:b/>
        </w:rPr>
        <w:t xml:space="preserve">Quelle: </w:t>
      </w:r>
      <w:r>
        <w:t>https://mcp.opencaselaw.ch/entscheid/sg_gerichte_BE.2014.27</w:t>
      </w:r>
    </w:p>
    <w:p>
      <w:r>
        <w:t>FR: SG_GERICHTE BE.2014.27 du 29 août 2014</w:t>
      </w:r>
    </w:p>
    <w:p>
      <w:r>
        <w:t>IT: SG_GERICHTE BE.2014.27 del 29 agosto 2014</w:t>
      </w:r>
    </w:p>
    <w:p>
      <w:pPr>
        <w:pStyle w:val="Heading2"/>
      </w:pPr>
      <w:r>
        <w:t>Regeste</w:t>
      </w:r>
    </w:p>
    <w:p>
      <w:r>
        <w:t>Art. 52, Art. 128, Art. 206 Abs. 2 und Art. 320 lit. a ZPO (SR 272). Die ZPO sieht bei Säumnis einer oder beider Parteien keine Ordnungsbusse, sondern lediglich die in Art. 206 ZPO bestimmten prozessualen Nachteile vor, was der Beteiligung der Parteien an der Schlichtungsverhandlung den Charakter einer Erscheinungsobliegenheit verleiht. Nicht ausgeschlossen ist eine Ordnungsbusse aber, wenn zusätzliche Umstände hinzukommen. Die Frage kann hier offen gelassen, ob die Kognition, wie dies von einem Teil der Lehre vertreten wird, auf (blosse) Ermessensfehler im Sinne einer unangemessenen Ausübung des Rechtsfolgeermessens auszuweiten ist. Hingegen ist vertretbar, dass die Beschwerdeinstanz die Ermessenskontrolle insbesondere bei Beschwerden gegen Zwischenentscheide und prozessleitende Verfügungen zurückhaltender als im Berufungsverfahren ausübt und nur in Fällen von Ermessensmissbrauch oder -über- bzw. -unterschreitung einschreitet (sogenannte "Ohne-Not-Praxis"). Im konkreten Fall hat die Schlichtungsstelle, die dem Beklagten eine Ordnungsbusse auferlegt hat, ihr Ermessen – unter dem Aspekt der gebotenen Zurückhaltung bei dessen Überprüfung – durchaus sachgerecht und damit rechtmässig ausgeübt (Kantonsgericht St. Gallen, Einzelrichter der III. Zivilkammer, 29. August 2014, BE.2014.27).</w:t>
      </w:r>
    </w:p>
    <w:p>
      <w:pPr>
        <w:pStyle w:val="Heading2"/>
      </w:pPr>
      <w:r>
        <w:t>Volltext</w:t>
      </w:r>
    </w:p>
    <w:p>
      <w:r>
        <w:t>St.Gallen Kantonsgericht Zivilkammern (inkl. Einzelrichter) 29.08.2014 BE.2014.27</w:t>
      </w:r>
    </w:p>
    <w:p>
      <w:r>
        <w:t>Art. 52, Art. 128, Art. 206 Abs. 2 und Art. 320 lit. a ZPO (SR 272). Die ZPO sieht bei Säumnis einer oder beider Parteien keine Ordnungsbusse, sondern lediglich die in Art. 206 ZPO bestimmten prozessualen Nachteile vor, was der Beteiligung der Parteien an der Schlichtungsverhandlung den Charakter einer Erscheinungsobliegenheit verleiht. Nicht ausgeschlossen ist eine Ordnungsbusse aber, wenn zusätzliche Umstände hinzukommen. Die Frage kann hier offen gelassen, ob die Kognition, wie dies von einem Teil der Lehre vertreten wird, auf (blosse) Ermessensfehler im Sinne einer unangemessenen Ausübung des Rechtsfolgeermessens auszuweiten ist. Hingegen ist vertretbar, dass die Beschwerdeinstanz die Ermessenskontrolle insbesondere bei Beschwerden gegen Zwischenentscheide und prozessleitende Verfügungen zurückhaltender als im Berufungsverfahren ausübt und nur in Fällen von Ermessensmissbrauch oder -über- bzw. -unterschreitung einschreitet (sogenannte "Ohne-Not-Praxis"). Im konkreten Fall hat die Schlichtungsstelle, die dem Beklagten eine Ordnungsbusse auferlegt hat, ihr Ermessen – unter dem Aspekt der gebotenen Zurückhaltung bei dessen Überprüfung – durchaus sachgerecht und damit rechtmässig ausgeübt (Kantonsgericht St. Gallen, Einzelrichter der III. Zivilkammer, 29. August 2014, BE.2014.27).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