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BE.2014.1 vom 12. Juni 2014</w:t>
      </w:r>
    </w:p>
    <w:p>
      <w:r>
        <w:t>SG Gerichte, 2014-06-12, DE</w:t>
      </w:r>
    </w:p>
    <w:p>
      <w:r>
        <w:rPr>
          <w:b/>
        </w:rPr>
        <w:t xml:space="preserve">Quelle: </w:t>
      </w:r>
      <w:r>
        <w:t>https://mcp.opencaselaw.ch/entscheid/sg_gerichte_BE.2014.1</w:t>
      </w:r>
    </w:p>
    <w:p>
      <w:r>
        <w:t>FR: SG_GERICHTE BE.2014.1 du 12 juin 2014</w:t>
      </w:r>
    </w:p>
    <w:p>
      <w:r>
        <w:t>IT: SG_GERICHTE BE.2014.1 del 12 giugno 2014</w:t>
      </w:r>
    </w:p>
    <w:p>
      <w:pPr>
        <w:pStyle w:val="Heading2"/>
      </w:pPr>
      <w:r>
        <w:t>Regeste</w:t>
      </w:r>
    </w:p>
    <w:p>
      <w:r>
        <w:t>Art. 518 i.V.m. Art. 595 Abs. 3 ZGB: Beschwerde gegen den Willensvollstrecker. Verfahrensrechtliche Einordnung und inhaltliche Eingrenzung der Willensvollstreckerbeschwerde (E. II.1, III.4). Eine Nacherbeneinsetzung (Art. 488 ff. ZGB) hat zur Folge, dass zwei zeitlich voneinander abgegrenzte Erbgänge stattfinden. Nach Abschluss des ersten Erbganges ist das Mandat des Willensvollstreckers vorerst beendet und es können keine aufsichtsrechtlichen Massnahmen mehr gegen ihn ergriffen werden (E. III.5.b, III.6.a). Der Nacherbe (insb. auf den Überrest) ist blosser Rechtsnachfolger unter aufschiebender Bedingung resp. Anwärter auf die Erbschaft, er hat keine Beschwerdebefugnis bezüglich der Tätigkeit des Willensvollstreckers im ersten Erbgang. (III.5.b, III.6.b.aa). Vollständig übergangene Pflichtteilserben als virtuelle Erben, Erbeneigenschaft erst mit Gestaltungsurteil (Ungültigkeits- oder Herabsetzungsverfahren). Verzichtet der übergangene Pflichtteilserbe auf Anfechtung, verliert er seine Erbeneigenschaft endgültig; seine Mitwirkungsrechte, inkl. der Befugnis, die Willensvollstreckerbeschwerde zu erheben, gehen verloren (E. III.6.b.bb). (Kantonsgericht St. Gallen, Einzelrichterin im Personen-, Erb- und Sachenrecht, 12. Juni 2014, BE.2014.1).</w:t>
      </w:r>
    </w:p>
    <w:p>
      <w:pPr>
        <w:pStyle w:val="Heading2"/>
      </w:pPr>
      <w:r>
        <w:t>Volltext</w:t>
      </w:r>
    </w:p>
    <w:p>
      <w:r>
        <w:t>St.Gallen Kantonsgericht Zivilkammern (inkl. Einzelrichter) 12.06.2014 BE.2014.1</w:t>
      </w:r>
    </w:p>
    <w:p>
      <w:r>
        <w:t>Art. 518 i.V.m. Art. 595 Abs. 3 ZGB: Beschwerde gegen den Willensvollstrecker. Verfahrensrechtliche Einordnung und inhaltliche Eingrenzung der Willensvollstreckerbeschwerde (E. II.1, III.4). Eine Nacherbeneinsetzung (Art. 488 ff. ZGB) hat zur Folge, dass zwei zeitlich voneinander abgegrenzte Erbgänge stattfinden. Nach Abschluss des ersten Erbganges ist das Mandat des Willensvollstreckers vorerst beendet und es können keine aufsichtsrechtlichen Massnahmen mehr gegen ihn ergriffen werden (E. III.5.b, III.6.a). Der Nacherbe (insb. auf den Überrest) ist blosser Rechtsnachfolger unter aufschiebender Bedingung resp. Anwärter auf die Erbschaft, er hat keine Beschwerdebefugnis bezüglich der Tätigkeit des Willensvollstreckers im ersten Erbgang. (III.5.b, III.6.b.aa). Vollständig übergangene Pflichtteilserben als virtuelle Erben, Erbeneigenschaft erst mit Gestaltungsurteil (Ungültigkeits- oder Herabsetzungsverfahren). Verzichtet der übergangene Pflichtteilserbe auf Anfechtung, verliert er seine Erbeneigenschaft endgültig; seine Mitwirkungsrechte, inkl. der Befugnis, die Willensvollstreckerbeschwerde zu erheben, gehen verloren (E. III.6.b.bb). (Kantonsgericht St. Gallen, Einzelrichterin im Personen-, Erb- und Sachenrecht, 12. Juni 2014, BE.2014.1).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