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BE.2013.28 vom 10. Dezember 2013</w:t>
      </w:r>
    </w:p>
    <w:p>
      <w:r>
        <w:t>SG Gerichte, 2013-12-10, DE</w:t>
      </w:r>
    </w:p>
    <w:p>
      <w:r>
        <w:rPr>
          <w:b/>
        </w:rPr>
        <w:t xml:space="preserve">Quelle: </w:t>
      </w:r>
      <w:r>
        <w:t>https://mcp.opencaselaw.ch/entscheid/sg_gerichte_BE.2013.28</w:t>
      </w:r>
    </w:p>
    <w:p>
      <w:r>
        <w:t>FR: SG_GERICHTE BE.2013.28 du 10 décembre 2013</w:t>
      </w:r>
    </w:p>
    <w:p>
      <w:r>
        <w:t>IT: SG_GERICHTE BE.2013.28 del 10 dicembre 2013</w:t>
      </w:r>
    </w:p>
    <w:p>
      <w:pPr>
        <w:pStyle w:val="Heading2"/>
      </w:pPr>
      <w:r>
        <w:t>Regeste</w:t>
      </w:r>
    </w:p>
    <w:p>
      <w:r>
        <w:t>Art. 956a, Art 970 Abs. 1 und 2 ZGB (SR 210). Grundbuchbeschwerde. Einsichtnahme in das Grundbuch. Allgemeine Ausführungen zum Nachweis des schützenswerten Interesses zur Geltendmachung des Einsichtsrechts (E. III.2). Anwendung im Einzelfall (E III.3) und Interessenabwägung zur Bestimmung des Umfangs der zu genehmigenden Einsichtnahme (E. III.4). Art. 96, Art. 106 und Art. 116 ZPO (SR 272), Art. 95 f., Art. 98 und Art. 98ter VRP (sGS 951.1). Grundsätze der Kostenverlegung bei der Grundbuchbeschwerde (E. IV). (Kantonsgericht, Einzelrichterin im Personen-, Erb- und Sachenrecht, 10.Dezember 2013, BE.2013.28).</w:t>
      </w:r>
    </w:p>
    <w:p>
      <w:pPr>
        <w:pStyle w:val="Heading2"/>
      </w:pPr>
      <w:r>
        <w:t>Volltext</w:t>
      </w:r>
    </w:p>
    <w:p>
      <w:r>
        <w:t>St.Gallen Kantonsgericht Zivilkammern (inkl. Einzelrichter) 10.12.2013 BE.2013.28</w:t>
      </w:r>
    </w:p>
    <w:p>
      <w:r>
        <w:t>Art. 956a, Art 970 Abs. 1 und 2 ZGB (SR 210). Grundbuchbeschwerde. Einsichtnahme in das Grundbuch. Allgemeine Ausführungen zum Nachweis des schützenswerten Interesses zur Geltendmachung des Einsichtsrechts (E. III.2). Anwendung im Einzelfall (E III.3) und Interessenabwägung zur Bestimmung des Umfangs der zu genehmigenden Einsichtnahme (E. III.4). Art. 96, Art. 106 und Art. 116 ZPO (SR 272), Art. 95 f., Art. 98 und Art. 98ter VRP (sGS 951.1). Grundsätze der Kostenverlegung bei der Grundbuchbeschwerde (E. IV). (Kantonsgericht, Einzelrichterin im Personen-, Erb- und Sachenrecht, 10.Dezember 2013, BE.2013.28).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