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BE.2012.20 vom 22. Mai 2012</w:t>
      </w:r>
    </w:p>
    <w:p>
      <w:r>
        <w:t>SG Gerichte, 2012-05-22, DE</w:t>
      </w:r>
    </w:p>
    <w:p>
      <w:r>
        <w:rPr>
          <w:b/>
        </w:rPr>
        <w:t xml:space="preserve">Quelle: </w:t>
      </w:r>
      <w:r>
        <w:t>https://mcp.opencaselaw.ch/entscheid/sg_gerichte_BE.2012.20</w:t>
      </w:r>
    </w:p>
    <w:p>
      <w:r>
        <w:t>FR: SG_GERICHTE BE.2012.20 du 22 mai 2012</w:t>
      </w:r>
    </w:p>
    <w:p>
      <w:r>
        <w:t>IT: SG_GERICHTE BE.2012.20 del 22 maggio 2012</w:t>
      </w:r>
    </w:p>
    <w:p>
      <w:pPr>
        <w:pStyle w:val="Heading2"/>
      </w:pPr>
      <w:r>
        <w:t>Regeste</w:t>
      </w:r>
    </w:p>
    <w:p>
      <w:r>
        <w:t>Art. 106 Abs. 2 und Art. 107 Abs. 1 lit. b ZPO (SR 272). Klagt eine Partei trotz bekannter qualitativer Beanstandungen die (Rest)Forderung in vollem Umfang ein und unterliegt sie in der Folge teilweise, besteht kein zureichender Grund für eine vom Grundsatz von Art. 106 Abs. 2 ZPO abweichende Kostenverteilung (Kantonsgericht St. Gallen, Einzelrichter im Obligationenrecht, 22. Mai 2012, BE.2012.20).</w:t>
      </w:r>
    </w:p>
    <w:p>
      <w:pPr>
        <w:pStyle w:val="Heading2"/>
      </w:pPr>
      <w:r>
        <w:t>Volltext</w:t>
      </w:r>
    </w:p>
    <w:p>
      <w:r>
        <w:t>St.Gallen Kantonsgericht Zivilkammern (inkl. Einzelrichter) 22.05.2012 BE.2012.20</w:t>
      </w:r>
    </w:p>
    <w:p>
      <w:r>
        <w:t>Art. 106 Abs. 2 und Art. 107 Abs. 1 lit. b ZPO (SR 272). Klagt eine Partei trotz bekannter qualitativer Beanstandungen die (Rest)Forderung in vollem Umfang ein und unterliegt sie in der Folge teilweise, besteht kein zureichender Grund für eine vom Grundsatz von Art. 106 Abs. 2 ZPO abweichende Kostenverteilung (Kantonsgericht St. Gallen, Einzelrichter im Obligationenrecht, 22. Mai 2012, BE.2012.20).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