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BE.2012.15 vom 5. Juni 2012</w:t>
      </w:r>
    </w:p>
    <w:p>
      <w:r>
        <w:t>SG Gerichte, 2012-06-05, DE</w:t>
      </w:r>
    </w:p>
    <w:p>
      <w:r>
        <w:rPr>
          <w:b/>
        </w:rPr>
        <w:t xml:space="preserve">Quelle: </w:t>
      </w:r>
      <w:r>
        <w:t>https://mcp.opencaselaw.ch/entscheid/sg_gerichte_BE.2012.15</w:t>
      </w:r>
    </w:p>
    <w:p>
      <w:r>
        <w:t>FR: SG_GERICHTE BE.2012.15 du 5 juin 2012</w:t>
      </w:r>
    </w:p>
    <w:p>
      <w:r>
        <w:t>IT: SG_GERICHTE BE.2012.15 del 5 giugno 2012</w:t>
      </w:r>
    </w:p>
    <w:p>
      <w:pPr>
        <w:pStyle w:val="Heading2"/>
      </w:pPr>
      <w:r>
        <w:t>Regeste</w:t>
      </w:r>
    </w:p>
    <w:p>
      <w:r>
        <w:t>Art. 15 Abs. 2 und Art. 22 EG-ZPO (sGS 961.2), Art. 12 Abs. 2 lit. b EG-ZGB (sGS 911.1). Für Rechtsmittelverfahren gegen Verfügungen und Entscheide des zuständigen Departementes gelten die zivilprozessualen Bestimmungen (Kantonsgericht St. Gallen, Einzelrichterin im Personen-, Erb- und Sachenrecht, 5. Juni 2012, BE.2012.15).</w:t>
      </w:r>
    </w:p>
    <w:p>
      <w:pPr>
        <w:pStyle w:val="Heading2"/>
      </w:pPr>
      <w:r>
        <w:t>Volltext</w:t>
      </w:r>
    </w:p>
    <w:p>
      <w:r>
        <w:t>St.Gallen Kantonsgericht Zivilkammern (inkl. Einzelrichter) 05.06.2012 BE.2012.15</w:t>
      </w:r>
    </w:p>
    <w:p>
      <w:r>
        <w:t>Art. 15 Abs. 2 und Art. 22 EG-ZPO (sGS 961.2), Art. 12 Abs. 2 lit. b EG-ZGB (sGS 911.1). Für Rechtsmittelverfahren gegen Verfügungen und Entscheide des zuständigen Departementes gelten die zivilprozessualen Bestimmungen (Kantonsgericht St. Gallen, Einzelrichterin im Personen-, Erb- und Sachenrecht, 5. Juni 2012, BE.2012.15).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