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BE.2011.9 vom 20. April 2011</w:t>
      </w:r>
    </w:p>
    <w:p>
      <w:r>
        <w:t>SG Gerichte, 2011-04-20, DE</w:t>
      </w:r>
    </w:p>
    <w:p>
      <w:r>
        <w:rPr>
          <w:b/>
        </w:rPr>
        <w:t xml:space="preserve">Quelle: </w:t>
      </w:r>
      <w:r>
        <w:t>https://mcp.opencaselaw.ch/entscheid/sg_gerichte_BE.2011.9</w:t>
      </w:r>
    </w:p>
    <w:p>
      <w:r>
        <w:t>FR: SG_GERICHTE BE.2011.9 du 20 avril 2011</w:t>
      </w:r>
    </w:p>
    <w:p>
      <w:r>
        <w:t>IT: SG_GERICHTE BE.2011.9 del 20 aprile 2011</w:t>
      </w:r>
    </w:p>
    <w:p>
      <w:pPr>
        <w:pStyle w:val="Heading2"/>
      </w:pPr>
      <w:r>
        <w:t>Regeste</w:t>
      </w:r>
    </w:p>
    <w:p>
      <w:r>
        <w:t>Art. 98 und Art. 111 ZPO (SR 272); Art. 4 ff. und Art. 10 GKV (sGS 941.12). Kostenvorschuss. Bemessung. Die Verfügung des vollen Kostenvorschusses stellt die Regel, die Verfügung eines geringeren oder keines Vorschusses die Ausnahme dar. Es ist vom Gesetzgeber gewollt, dass der Kläger im Zivilprozess grundsätzlich das Inkassorisiko für die Gerichtskosten trägt. Da im Anfangsstadium des Prozesses die Kriterien, nach denen schliesslich die Entscheidgebühr festzulegen ist, regelmässig (in der Regel mit Ausnahme des Streitwerts) noch nicht feststehen, muss bei der Bemessung des Kostenvorschusses - wenn nicht bereits in diesem Prozessstadium offensichtlich ist, dass eines der weiteren Kriterien zur Bemessung der Entscheidgebühr eine wesentliche Rolle spielen wird - zwangsläufig hauptsächlich auf den Streitwert abgestellt werden. Die proportionale Bemessung des Kostenvorschusses innerhalb des Kostenrahmens für die Entscheidgebühr ist daher zulässig, wenn nicht einerseits besondere fallbezogene Umstände - beispielsweise bereits absehbare bedeutende oder geringe Umtriebe - schon in diesem Prozessstadium eine wesentlich höhere oder tiefere Entscheidgebühr nahelegen und nicht andererseits die finanziellen Verhältnisse des Vorschusspflichtigen ausnahmsweise einen unter den mutmasslichen Prozesskosten liegenden Kostenvorschuss als gerechtfertigt erscheinen lassen (Kantonsgericht St. Gallen, Einzelrichter im Obligationenrecht, 20. April 2011, BE.2011.9).</w:t>
      </w:r>
    </w:p>
    <w:p>
      <w:pPr>
        <w:pStyle w:val="Heading2"/>
      </w:pPr>
      <w:r>
        <w:t>Volltext</w:t>
      </w:r>
    </w:p>
    <w:p>
      <w:r>
        <w:t>St.Gallen Kantonsgericht Zivilkammern (inkl. Einzelrichter) 20.04.2011 BE.2011.9</w:t>
      </w:r>
    </w:p>
    <w:p>
      <w:r>
        <w:t>Art. 98 und Art. 111 ZPO (SR 272); Art. 4 ff. und Art. 10 GKV (sGS 941.12). Kostenvorschuss. Bemessung. Die Verfügung des vollen Kostenvorschusses stellt die Regel, die Verfügung eines geringeren oder keines Vorschusses die Ausnahme dar. Es ist vom Gesetzgeber gewollt, dass der Kläger im Zivilprozess grundsätzlich das Inkassorisiko für die Gerichtskosten trägt. Da im Anfangsstadium des Prozesses die Kriterien, nach denen schliesslich die Entscheidgebühr festzulegen ist, regelmässig (in der Regel mit Ausnahme des Streitwerts) noch nicht feststehen, muss bei der Bemessung des Kostenvorschusses - wenn nicht bereits in diesem Prozessstadium offensichtlich ist, dass eines der weiteren Kriterien zur Bemessung der Entscheidgebühr eine wesentliche Rolle spielen wird - zwangsläufig hauptsächlich auf den Streitwert abgestellt werden. Die proportionale Bemessung des Kostenvorschusses innerhalb des Kostenrahmens für die Entscheidgebühr ist daher zulässig, wenn nicht einerseits besondere fallbezogene Umstände - beispielsweise bereits absehbare bedeutende oder geringe Umtriebe - schon in diesem Prozessstadium eine wesentlich höhere oder tiefere Entscheidgebühr nahelegen und nicht andererseits die finanziellen Verhältnisse des Vorschusspflichtigen ausnahmsweise einen unter den mutmasslichen Prozesskosten liegenden Kostenvorschuss als gerechtfertigt erscheinen lassen (Kantonsgericht St. Gallen, Einzelrichter im Obligationenrecht, 20. April 2011, BE.2011.9).</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