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BE.2011.51 vom 7. Februar 2012</w:t>
      </w:r>
    </w:p>
    <w:p>
      <w:r>
        <w:t>SG Gerichte, 2012-02-07, DE</w:t>
      </w:r>
    </w:p>
    <w:p>
      <w:r>
        <w:rPr>
          <w:b/>
        </w:rPr>
        <w:t xml:space="preserve">Quelle: </w:t>
      </w:r>
      <w:r>
        <w:t>https://mcp.opencaselaw.ch/entscheid/sg_gerichte_BE.2011.51</w:t>
      </w:r>
    </w:p>
    <w:p>
      <w:r>
        <w:t>FR: SG_GERICHTE BE.2011.51 du 7 février 2012</w:t>
      </w:r>
    </w:p>
    <w:p>
      <w:r>
        <w:t>IT: SG_GERICHTE BE.2011.51 del 7 febbraio 2012</w:t>
      </w:r>
    </w:p>
    <w:p>
      <w:pPr>
        <w:pStyle w:val="Heading2"/>
      </w:pPr>
      <w:r>
        <w:t>Regeste</w:t>
      </w:r>
    </w:p>
    <w:p>
      <w:r>
        <w:t>Art. 95 Abs. 2 lit. b, Art. 96 und Art. 336 ZPO (SR 272); Art. 27 und Art. 28 Ziff. 3 GKV (sGS 941.12). Gebühr für Vollstreckbarkeitsbescheinigung. Die Erhebung einer Gebühr von Fr. 20.- für die Vollstreckbarkeitsbescheinigung verstösst nicht gegen Bundesrecht (Kantonsgericht St. Gallen, Einzelrichter im Obligationenrecht, 7. Februar 2012, BE.2011.51).</w:t>
      </w:r>
    </w:p>
    <w:p>
      <w:pPr>
        <w:pStyle w:val="Heading2"/>
      </w:pPr>
      <w:r>
        <w:t>Volltext</w:t>
      </w:r>
    </w:p>
    <w:p>
      <w:r>
        <w:t>St.Gallen Kantonsgericht Zivilkammern (inkl. Einzelrichter) 07.02.2012 BE.2011.51</w:t>
      </w:r>
    </w:p>
    <w:p>
      <w:r>
        <w:t>Art. 95 Abs. 2 lit. b, Art. 96 und Art. 336 ZPO (SR 272); Art. 27 und Art. 28 Ziff. 3 GKV (sGS 941.12). Gebühr für Vollstreckbarkeitsbescheinigung. Die Erhebung einer Gebühr von Fr. 20.- für die Vollstreckbarkeitsbescheinigung verstösst nicht gegen Bundesrecht (Kantonsgericht St. Gallen, Einzelrichter im Obligationenrecht, 7. Februar 2012, BE.2011.51).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