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BE.2011.50 vom 19. Dezember 2011</w:t>
      </w:r>
    </w:p>
    <w:p>
      <w:r>
        <w:t>SG Gerichte, 2011-12-19, DE</w:t>
      </w:r>
    </w:p>
    <w:p>
      <w:r>
        <w:rPr>
          <w:b/>
        </w:rPr>
        <w:t xml:space="preserve">Quelle: </w:t>
      </w:r>
      <w:r>
        <w:t>https://mcp.opencaselaw.ch/entscheid/sg_gerichte_BE.2011.50</w:t>
      </w:r>
    </w:p>
    <w:p>
      <w:r>
        <w:t>FR: SG_GERICHTE BE.2011.50 du 19 décembre 2011</w:t>
      </w:r>
    </w:p>
    <w:p>
      <w:r>
        <w:t>IT: SG_GERICHTE BE.2011.50 del 19 dicembre 2011</w:t>
      </w:r>
    </w:p>
    <w:p>
      <w:pPr>
        <w:pStyle w:val="Heading2"/>
      </w:pPr>
      <w:r>
        <w:t>Regeste</w:t>
      </w:r>
    </w:p>
    <w:p>
      <w:r>
        <w:t>Art. 29 Abs. 2 BV (SR 101) und Art. 6 Ziff. 1 EMRK (SR 0.101). Die Verletzung des Anspruchs auf rechtliches Gehör ist formeller Natur und führt in der Regel ungeachtet der Erfolgsaussichten der Beschwerde in der Sache selbst zur Aufhebung des angefochtenen Entscheides. Ausnahmsweise können solche Mängel aber geheilt werden (Kantonsgericht St. Gallen, Einzelrichter im Obligationenrecht, 19. Dezember 2011, BE.2011.50).</w:t>
      </w:r>
    </w:p>
    <w:p>
      <w:pPr>
        <w:pStyle w:val="Heading2"/>
      </w:pPr>
      <w:r>
        <w:t>Volltext</w:t>
      </w:r>
    </w:p>
    <w:p>
      <w:r>
        <w:t>St.Gallen Kantonsgericht Zivilkammern (inkl. Einzelrichter) 19.12.2011 BE.2011.50</w:t>
      </w:r>
    </w:p>
    <w:p>
      <w:r>
        <w:t>Art. 29 Abs. 2 BV (SR 101) und Art. 6 Ziff. 1 EMRK (SR 0.101). Die Verletzung des Anspruchs auf rechtliches Gehör ist formeller Natur und führt in der Regel ungeachtet der Erfolgsaussichten der Beschwerde in der Sache selbst zur Aufhebung des angefochtenen Entscheides. Ausnahmsweise können solche Mängel aber geheilt werden (Kantonsgericht St. Gallen, Einzelrichter im Obligationenrecht, 19. Dezember 2011, BE.2011.50).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