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AW.2022.85 vom 4. April 2023</w:t>
      </w:r>
    </w:p>
    <w:p>
      <w:r>
        <w:t>SG Gerichte, 2023-04-04, DE</w:t>
      </w:r>
    </w:p>
    <w:p>
      <w:r>
        <w:rPr>
          <w:b/>
        </w:rPr>
        <w:t xml:space="preserve">Quelle: </w:t>
      </w:r>
      <w:r>
        <w:t>https://mcp.opencaselaw.ch/entscheid/sg_gerichte_AW.2022.85</w:t>
      </w:r>
    </w:p>
    <w:p>
      <w:r>
        <w:t>FR: SG_GERICHTE AW.2022.85 du 4 avril 2023</w:t>
      </w:r>
    </w:p>
    <w:p>
      <w:r>
        <w:t>IT: SG_GERICHTE AW.2022.85 del 4 aprile 2023</w:t>
      </w:r>
    </w:p>
    <w:p>
      <w:pPr>
        <w:pStyle w:val="Heading2"/>
      </w:pPr>
      <w:r>
        <w:t>Regeste</w:t>
      </w:r>
    </w:p>
    <w:p>
      <w:r>
        <w:t>Nach Art. 12 lit. a BGFA üben die Anwälte ihren Beruf sorgfältig und gewissenhaft aus. Der Anwalt hat die Interessen des Auftraggebers nach besten Kräften zu wahren und alles zu unterlassen, was diese Interessen schädigen könnte. Der Anwalt hat primär die Interessen seines Klienten zu vertreten und ist im Gegensatz zum Richter nicht der objektiven Wahrheits- und Rechtsfindung verpflichtet. Er ist nicht Gehilfe des Richters, sondern Verfechter von Parteiinteressen. Die Verteidigung bedeutet demzufolge streng einseitige Interessenwahrnehmung (E. II.2.a). Ein Anwalt, der gegen den Willen seines Klienten einen Schuldspruch und eine Landesverweisung beantragt, verletzt seine Berufspflichten (E. II.3). (Kantonsgericht, Anwaltskammer, 4. April 2023, AW.2022.85).</w:t>
      </w:r>
    </w:p>
    <w:p>
      <w:pPr>
        <w:pStyle w:val="Heading2"/>
      </w:pPr>
      <w:r>
        <w:t>Volltext</w:t>
      </w:r>
    </w:p>
    <w:p>
      <w:r>
        <w:t>St.Gallen Kantonsgericht Anwaltskammer 04.04.2023 AW.2022.85</w:t>
      </w:r>
    </w:p>
    <w:p>
      <w:r>
        <w:t>Nach Art. 12 lit. a BGFA üben die Anwälte ihren Beruf sorgfältig und gewissenhaft aus. Der Anwalt hat die Interessen des Auftraggebers nach besten Kräften zu wahren und alles zu unterlassen, was diese Interessen schädigen könnte. Der Anwalt hat primär die Interessen seines Klienten zu vertreten und ist im Gegensatz zum Richter nicht der objektiven Wahrheits- und Rechtsfindung verpflichtet. Er ist nicht Gehilfe des Richters, sondern Verfechter von Parteiinteressen. Die Verteidigung bedeutet demzufolge streng einseitige Interessenwahrnehmung (E. II.2.a). Ein Anwalt, der gegen den Willen seines Klienten einen Schuldspruch und eine Landesverweisung beantragt, verletzt seine Berufspflichten (E. II.3).</w:t>
      </w:r>
    </w:p>
    <w:p>
      <w:r>
        <w:t>(Kantonsgericht, Anwaltskammer, 4. April 2023, AW.2022.85).</w:t>
      </w:r>
    </w:p>
    <w:p>
      <w:r>
        <w:t>St.Gallen Kantonsgericht Anwaltskammer Saint-Gall Anwaltskammer San Gallo Anwaltskammer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