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AW.2017.10 vom 15. Mai 2017</w:t>
      </w:r>
    </w:p>
    <w:p>
      <w:r>
        <w:t>SG Gerichte, 2017-05-15, DE</w:t>
      </w:r>
    </w:p>
    <w:p>
      <w:r>
        <w:rPr>
          <w:b/>
        </w:rPr>
        <w:t xml:space="preserve">Quelle: </w:t>
      </w:r>
      <w:r>
        <w:t>https://mcp.opencaselaw.ch/entscheid/sg_gerichte_AW.2017.10</w:t>
      </w:r>
    </w:p>
    <w:p>
      <w:r>
        <w:t>FR: SG_GERICHTE AW.2017.10 du 15 mai 2017</w:t>
      </w:r>
    </w:p>
    <w:p>
      <w:r>
        <w:t>IT: SG_GERICHTE AW.2017.10 del 15 maggio 2017</w:t>
      </w:r>
    </w:p>
    <w:p>
      <w:pPr>
        <w:pStyle w:val="Heading2"/>
      </w:pPr>
      <w:r>
        <w:t>Regeste</w:t>
      </w:r>
    </w:p>
    <w:p>
      <w:r>
        <w:t>Art. 5 Abs. 2 lit. e AnwG (sGS 963.70); Art. 13 BGFA (SR 935.61). Entbindung vom Berufsgeheimnis. Die Entbindung durch den Präsidenten der Anwalts­kammer ist subsidiär, d.h. der Anwalt muss sich zunächst selbständig um die Einwilligung seines Klienten bemühen (E. 2). Nach Auffassung der Anwaltskammer besteht – entgegen der bundesgerichtlichen Rechtsprechung – mangels gesetzlicher Grundlage keine Pflicht, welche Anwälten vorschreibt, von ihrer Kli­ent­schaft ausreichende Vorschüsse zu verlangen (E. 3). Im Übrigen beurteilt sich auf Grund einer Abwägung sämtlicher auf dem Spiel stehenden Interessen, ob dem Ersuchen um Entbindung vom Anwaltsgeheimnis zu entsprechen ist. Wird der Anwalt von der Geheimhaltungspflicht dispensiert, so ist der gewährte Dispens möglichst schonend auszuüben, d.h. die Preisgabe muss sich auf das Honorarinkasso Notwendige beschränken (E. 4). (Präsident der Anwaltskammer, 15. Mai 2017, AW.2017.10).</w:t>
      </w:r>
    </w:p>
    <w:p>
      <w:pPr>
        <w:pStyle w:val="Heading2"/>
      </w:pPr>
      <w:r>
        <w:t>Volltext</w:t>
      </w:r>
    </w:p>
    <w:p>
      <w:r>
        <w:t>St.Gallen Kantonsgericht Anwaltskammer 15.05.2017 AW.2017.10</w:t>
      </w:r>
    </w:p>
    <w:p>
      <w:r>
        <w:t>Art. 5 Abs. 2 lit. e AnwG (sGS 963.70); Art. 13 BGFA (SR 935.61). Entbindung vom Berufsgeheimnis. Die Entbindung durch den Präsidenten der Anwalts­kammer ist subsidiär, d.h. der Anwalt muss sich zunächst selbständig um die Einwilligung seines Klienten bemühen (E. 2). Nach Auffassung der Anwaltskammer besteht – entgegen der bundesgerichtlichen Rechtsprechung – mangels gesetzlicher Grundlage keine Pflicht, welche Anwälten vorschreibt, von ihrer Kli­ent­schaft ausreichende Vorschüsse zu verlangen (E. 3). Im Übrigen beurteilt sich auf Grund einer Abwägung sämtlicher auf dem Spiel stehenden Interessen, ob dem Ersuchen um Entbindung vom Anwaltsgeheimnis zu entsprechen ist. Wird der Anwalt von der Geheimhaltungspflicht dispensiert, so ist der gewährte Dispens möglichst schonend auszuüben, d.h. die Preisgabe muss sich auf das Honorarinkasso Notwendige beschränken (E. 4). (Präsident der Anwaltskammer, 15. Mai 2017, AW.2017.10).</w:t>
      </w:r>
    </w:p>
    <w:p>
      <w:r>
        <w:t>St.Gallen Kantonsgericht Anwaltskammer Saint-Gall Anwaltskammer San Gallo Anwaltskammer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