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2015/59 vom 17. August 2016</w:t>
      </w:r>
    </w:p>
    <w:p>
      <w:r>
        <w:t>SG Gerichte, 2016-08-17, DE</w:t>
      </w:r>
    </w:p>
    <w:p>
      <w:r>
        <w:rPr>
          <w:b/>
        </w:rPr>
        <w:t xml:space="preserve">Quelle: </w:t>
      </w:r>
      <w:r>
        <w:t>https://mcp.opencaselaw.ch/entscheid/sg_gerichte_AVI_2015_59</w:t>
      </w:r>
    </w:p>
    <w:p>
      <w:r>
        <w:t>FR: SG_GERICHTE AVI 2015/59 du 17 août 2016</w:t>
      </w:r>
    </w:p>
    <w:p>
      <w:r>
        <w:t>IT: SG_GERICHTE AVI 2015/59 del 17 agosto 2016</w:t>
      </w:r>
    </w:p>
    <w:p>
      <w:pPr>
        <w:pStyle w:val="Heading2"/>
      </w:pPr>
      <w:r>
        <w:t>Regeste</w:t>
      </w:r>
    </w:p>
    <w:p>
      <w:r>
        <w:t>Art. 23 Abs. 3 AVIG. Nebenverdienst. Bei der Frage, ob eine Tätigkeit einen Nebenverdienst im Sinne von Art. 23 Abs. 3 AVIG darstellt, ist auf die tatsächlichen Umstände des Einzelfalls und nicht alleine auf die Angabe in der Arbeitgeberbescheinigung abzustellen (Entscheid des Versicherungsgerichts des Kantons St. Gallen vom 17. August 2016, AVI 2015/59).Entscheid vom 17. August 2016</w:t>
      </w:r>
    </w:p>
    <w:p>
      <w:pPr>
        <w:pStyle w:val="Heading2"/>
      </w:pPr>
      <w:r>
        <w:t>Volltext</w:t>
      </w:r>
    </w:p>
    <w:p>
      <w:r>
        <w:t>St.Gallen Versicherungsgericht 17.08.2016 AVI 2015/59 Saint-Gall Versicherungsgericht 17.08.2016 AVI 2015/59 San Gallo Versicherungsgericht 17.08.2016 AVI 2015/59</w:t>
      </w:r>
    </w:p>
    <w:p>
      <w:r>
        <w:t>Art. 23 Abs. 3 AVIG. Nebenverdienst. Bei der Frage, ob eine Tätigkeit einen Nebenverdienst im Sinne von Art. 23 Abs. 3 AVIG darstellt, ist auf die tatsächlichen Umstände des Einzelfalls und nicht alleine auf die Angabe in der Arbeitgeberbescheinigung abzustellen (Entscheid des Versicherungsgerichts des Kantons St. Gallen vom 17. August 2016, AVI 2015/59).Entscheid vom 17. August 2016</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