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AK.2011.184 vom 23. August 2011</w:t>
      </w:r>
    </w:p>
    <w:p>
      <w:r>
        <w:t>SG Gerichte, 2011-08-23, DE</w:t>
      </w:r>
    </w:p>
    <w:p>
      <w:r>
        <w:rPr>
          <w:b/>
        </w:rPr>
        <w:t xml:space="preserve">Quelle: </w:t>
      </w:r>
      <w:r>
        <w:t>https://mcp.opencaselaw.ch/entscheid/sg_gerichte_AK.2011.184</w:t>
      </w:r>
    </w:p>
    <w:p>
      <w:r>
        <w:t>FR: SG_GERICHTE AK.2011.184 du 23 août 2011</w:t>
      </w:r>
    </w:p>
    <w:p>
      <w:r>
        <w:t>IT: SG_GERICHTE AK.2011.184 del 23 agosto 2011</w:t>
      </w:r>
    </w:p>
    <w:p>
      <w:pPr>
        <w:pStyle w:val="Heading2"/>
      </w:pPr>
      <w:r>
        <w:t>Regeste</w:t>
      </w:r>
    </w:p>
    <w:p>
      <w:r>
        <w:t>Art. 382 Abs. 2 StPO (SR 321.0). Erfordernis des rechtlich geschützten Interesses bei der Erhebung einer Beschwerde gemäss Art. 393 StPO (Anklagekammer, 23. August 2011, AK.2011.184).</w:t>
      </w:r>
    </w:p>
    <w:p>
      <w:pPr>
        <w:pStyle w:val="Heading2"/>
      </w:pPr>
      <w:r>
        <w:t>Volltext</w:t>
      </w:r>
    </w:p>
    <w:p>
      <w:r>
        <w:t>St.Gallen Kantonsgericht Strafkammer und Anklagekammer 23.08.2011 AK.2011.184 Saint-Gall Kantonsgericht Strafkammer und Anklagekammer 23.08.2011 AK.2011.184 San Gallo Kantonsgericht Strafkammer und Anklagekammer 23.08.2011 AK.2011.184</w:t>
      </w:r>
    </w:p>
    <w:p>
      <w:r>
        <w:t>Art. 382 Abs. 2 StPO (SR 321.0). Erfordernis des rechtlich geschützten Interesses bei der Erhebung einer Beschwerde gemäss Art. 393 StPO (Anklagekammer, 23. August 2011, AK.2011.184).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