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AB.2024.39-AS vom 7. Februar 2025</w:t>
      </w:r>
    </w:p>
    <w:p>
      <w:r>
        <w:t>SG Gerichte, 2025-02-07, DE</w:t>
      </w:r>
    </w:p>
    <w:p>
      <w:r>
        <w:rPr>
          <w:b/>
        </w:rPr>
        <w:t xml:space="preserve">Quelle: </w:t>
      </w:r>
      <w:r>
        <w:t>https://mcp.opencaselaw.ch/entscheid/sg_gerichte_AB.2024.39-AS</w:t>
      </w:r>
    </w:p>
    <w:p>
      <w:r>
        <w:t>FR: SG_GERICHTE AB.2024.39-AS du 7 février 2025</w:t>
      </w:r>
    </w:p>
    <w:p>
      <w:r>
        <w:t>IT: SG_GERICHTE AB.2024.39-AS del 7 febbraio 2025</w:t>
      </w:r>
    </w:p>
    <w:p>
      <w:pPr>
        <w:pStyle w:val="Heading2"/>
      </w:pPr>
      <w:r>
        <w:t>Regeste</w:t>
      </w:r>
    </w:p>
    <w:p>
      <w:r>
        <w:t>Grundsätzlich erlischt das Beschwerderecht gegen den Abschluss eines Freihandverkaufs nach einem Jahr (Art. 256 SchKG i.V.m. Art. 259 SchKG i.V.m. Art. 132a Abs. 3 SchKG). Vor Ablauf der Jahresfrist fehlt es der Beschwerde gegen die Aufhebung einer Freihandverkaufsverfügung an einem praktischen Verfahrens-zweck und der Beschwerdeführerin an einem entsprechend schutzwürdigen Interesse, wenn die durch die Verwertung bewirkte Eigentumsübertragung nicht mehr rückgängig gemacht werden kann (Art. 17 SchKG). Dies gilt namentlich in Bezug auf nicht mehr vorhandene bzw. bereits weiterverarbeitete oder -veräusserte Gegenstände eines Freihandverkaufs, in welchem ein Gesamtkaufpreis samt Goodwill und eine Betriebsübernahme vereinbart wurde (E. II/2).</w:t>
      </w:r>
    </w:p>
    <w:p>
      <w:pPr>
        <w:pStyle w:val="Heading2"/>
      </w:pPr>
      <w:r>
        <w:t>Volltext</w:t>
      </w:r>
    </w:p>
    <w:p>
      <w:r>
        <w:t>St.Gallen Kantonale Aufsichtsbehörde für Schuldbetreibung und Konkurs 07.02.2025 AB.2024.39-AS Saint-Gall Kantonale Aufsichtsbehörde für Schuldbetreibung und Konkurs 07.02.2025 AB.2024.39-AS San Gallo Kantonale Aufsichtsbehörde für Schuldbetreibung und Konkurs 07.02.2025 AB.2024.39-AS</w:t>
      </w:r>
    </w:p>
    <w:p>
      <w:r>
        <w:t>Grundsätzlich erlischt das Beschwerderecht gegen den Abschluss eines Freihandverkaufs nach einem Jahr (Art. 256 SchKG i.V.m. Art. 259 SchKG i.V.m. Art. 132a Abs. 3 SchKG). Vor Ablauf der Jahresfrist fehlt es der Beschwerde gegen die Aufhebung einer Freihandverkaufsverfügung an einem praktischen Verfahrens-zweck und der Beschwerdeführerin an einem entsprechend schutzwürdigen Interesse, wenn die durch die Verwertung bewirkte Eigentumsübertragung nicht mehr rückgängig gemacht werden kann (Art. 17 SchKG). Dies gilt namentlich in Bezug auf nicht mehr vorhandene bzw. bereits weiterverarbeitete oder -veräusserte Gegenstände eines Freihandverkaufs, in welchem ein Gesamtkaufpreis samt Goodwill und eine Betriebsübernahme vereinbart wurde (E. II/2).</w:t>
      </w:r>
    </w:p>
    <w:p>
      <w:r>
        <w:t>St.Gallen Kantonale Aufsichtsbehörde für Schuldbetreibung und Konkurs Saint-Gall Kantonale Aufsichtsbehörde für Schuldbetreibung und Konkurs San Gallo Kantonale Aufsichtsbehörde für Schuldbetreibung und Konkurs Kantonsgericht Kantonale Aufsichtsbehörde für Schuldbetreibung und Konkurs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