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zul-C3-A4ssigkeit-einer-anwalts-gmbh</w:t>
      </w:r>
    </w:p>
    <w:p>
      <w:r>
        <w:t>SAV Kantonale Aufsichtsentscheide, FR</w:t>
      </w:r>
    </w:p>
    <w:p>
      <w:r>
        <w:rPr>
          <w:b/>
        </w:rPr>
        <w:t xml:space="preserve">Quelle: </w:t>
      </w:r>
      <w:r>
        <w:t>https://mcp.opencaselaw.ch/entscheid/sav_kantone_zul-C3-A4ssigkeit-einer-anwalts-gmbh</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