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verletzung-des-doppelvertretungsverbotes-gem-C3-A4ss-art-12-lit-c-bgfa</w:t>
      </w:r>
    </w:p>
    <w:p>
      <w:r>
        <w:t>SAV Kantonale Aufsichtsentscheide, FR</w:t>
      </w:r>
    </w:p>
    <w:p>
      <w:r>
        <w:rPr>
          <w:b/>
        </w:rPr>
        <w:t xml:space="preserve">Quelle: </w:t>
      </w:r>
      <w:r>
        <w:t>https://mcp.opencaselaw.ch/entscheid/sav_kantone_verletzung-des-doppelvertretungsverbotes-gem-C3-A4ss-art-12-lit-c-bgfa</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