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les-r-C3-A8gles-professionnelles-et-les-activit-C3-A9s-atypiques-de-l-avocat-ins</w:t>
      </w:r>
    </w:p>
    <w:p>
      <w:r>
        <w:t>SAV Kantonale Aufsichtsentscheide, FR</w:t>
      </w:r>
    </w:p>
    <w:p>
      <w:r>
        <w:rPr>
          <w:b/>
        </w:rPr>
        <w:t xml:space="preserve">Quelle: </w:t>
      </w:r>
      <w:r>
        <w:t>https://mcp.opencaselaw.ch/entscheid/sav_kantone_les-r-C3-A8gles-professionnelles-et-les-activit-C3-A9s-atypiques-de-l-avocat-ins</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