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entscheid-des-verwaltungsgerichts-des-kantons-genf-vom-12-januar-2010</w:t>
      </w:r>
    </w:p>
    <w:p>
      <w:r>
        <w:t>SAV Kantonale Aufsichtsentscheide, FR</w:t>
      </w:r>
    </w:p>
    <w:p>
      <w:r>
        <w:rPr>
          <w:b/>
        </w:rPr>
        <w:t xml:space="preserve">Quelle: </w:t>
      </w:r>
      <w:r>
        <w:t>https://mcp.opencaselaw.ch/entscheid/sav_kantone_entscheid-des-verwaltungsgerichts-des-kantons-genf-vom-12-januar-2010</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