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anrechenbarkeit-eines-anwaltspraktikums-im-kanton-st-gallen</w:t>
      </w:r>
    </w:p>
    <w:p>
      <w:r>
        <w:t>SAV Kantonale Aufsichtsentscheide, FR</w:t>
      </w:r>
    </w:p>
    <w:p>
      <w:r>
        <w:rPr>
          <w:b/>
        </w:rPr>
        <w:t xml:space="preserve">Quelle: </w:t>
      </w:r>
      <w:r>
        <w:t>https://mcp.opencaselaw.ch/entscheid/sav_kantone_anrechenbarkeit-eines-anwaltspraktikums-im-kanton-st-gallen</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