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a-61922015-weblawch</w:t>
      </w:r>
    </w:p>
    <w:p>
      <w:r>
        <w:t>PostCom, FR</w:t>
      </w:r>
    </w:p>
    <w:p>
      <w:r>
        <w:rPr>
          <w:b/>
        </w:rPr>
        <w:t xml:space="preserve">Quelle: </w:t>
      </w:r>
      <w:r>
        <w:t>https://mcp.opencaselaw.ch/entscheid/postcom_a-61922015-weblawch</w:t>
      </w:r>
    </w:p>
    <w:p>
      <w:pPr>
        <w:pStyle w:val="Heading2"/>
      </w:pPr>
      <w:r>
        <w:t>Erwägungen</w:t>
      </w:r>
    </w:p>
    <w:p>
      <w:r>
        <w:rPr>
          <w:b/>
        </w:rPr>
        <w:t>E. 4</w:t>
      </w:r>
    </w:p>
    <w:p>
      <w:r>
        <w:t>Il s'ensuit que le recours est partiellement admis, en ce sens que la déci- sion est annulée et la cause est renvoyée à l’autorité inférieure pour com- plément d’instruction et nouvelle décision au sens des considérants. C'est d’ailleurs le lieu de rappeler qu'en général le recours devant le Tribu- nal administratif fédéral est de nature réformatoire, c'est-à-dire qu'en prin- cipe le Tribunal statue lui-même sur la cause et ne renvoie celle-ci qu'ex- ceptionnellement à l'autorité inférieure avec des instructions impératives (art. 61 al. 1 PA). Or, en l’occurrence, le Tribunal considère qu’il ne lui ap- partient pas d’établir les faits pertinents et de procéder à l’administration des moyens de preuve utiles, si l’autorité inférieure ne l’a elle-même pas fait. En effet, il n’a pas à clarifier des questions de fait essentielles en se substituant à l'autorité inférieure, en particulier de nature locale ou tech- nique. Si le Tribunal ne se limitait pas à compléter l'état de fait pertinent, mais établissait celui-ci au même titre que l'autorité inférieure, la partie se verrait privée en réalité de l'instance de recours. En d’autres termes, un tel procédé violerait clairement le droit des parties à la double instance de recours ainsi que leur droit d’être entendu (ATAF 2012/21 consid. 5 ; arrêts du Tribunal administratif fédéral A-1063/2014 du 25 mars 2015 consid. 3.6, E-1279/2014 du 7 septembre 2015 consid. 6, E-6379/2014 du 17 no- vembre 2014).</w:t>
      </w:r>
    </w:p>
    <w:p>
      <w:r>
        <w:rPr>
          <w:b/>
        </w:rPr>
        <w:t>E. 5.1</w:t>
      </w:r>
    </w:p>
    <w:p>
      <w:r>
        <w:t>Selon l'art. 63 al. 1 1ère phrase, les frais de procédure, comprenant l'émolument d'arrêté, les émoluments de chancellerie et les débours, sont généralement mis, dans le dispositif, à la charge de la partie qui succombe. En cas de renvoi de la cause, le recourant est en principe considéré comme obtenant gain de cause (cf. MAILLARD, in: Waldmann/Weissenberger (édit.), Praxiskommentar VwVG, art. 63 n. 14). En l’espèce, toutefois, la recourante doit être considérée que comme n’obtenant que partiellement gain de cause, dans la mesure où elle succombe sur le grief relatif à la qualité de parties des intimés (cf. consid. 2.5 ci-avant). Ainsi les frais de procédure, initialement fixés à 800 francs, seront-ils mis à la charge de la recourante à raison de 400 francs. Ce montant sera prélevé sur l'avance de frais déjà versée de 800 francs. Le solde de 400 francs lui sera restitué une fois le présent jugement entré en force. Enfin, aucun frais de procédure n'est mis à la charge de l'autorité inférieure (art. 63 al. 2 PA), ni à la charge</w:t>
      </w:r>
    </w:p>
    <w:p>
      <w:r>
        <w:t>A-6192/2015 Page 17 des intimés, qui, en renonçant à prendre position, ne sont pas intervenus activement dans la procédure.</w:t>
      </w:r>
    </w:p>
    <w:p>
      <w:r>
        <w:rPr>
          <w:b/>
        </w:rPr>
        <w:t>E. 5.2</w:t>
      </w:r>
    </w:p>
    <w:p>
      <w:r>
        <w:t>Le Tribunal peut, d'office ou sur requête, allouer à la partie ayant entiè- rement ou partiellement gain de cause une indemnité pour les frais indis- pensables et relativement élevés qui lui ont été occasionnés (art. 64 al. 1 PA, art. 7 ss du règlement du 21 février 2008 concernant les frais, dépens et indemnités fixés par le Tribunal administratif fédéral [FITAF, RS 173.320.2]). En l’espèce, la recourante ainsi que l’autorité inférieure n’ont pas le droit à des dépens (art. 7 al. 3 FITAF). Les intimés, certes représen- tés, n’ont toutefois pas fait valoir de requête en ce sens, de sorte qu’il n’y a pas lieu de leur allouer une indemnité de dépens. (le dispositif est porté à la page suivante)</w:t>
      </w:r>
    </w:p>
    <w:p>
      <w:r>
        <w:t>A-6192/2015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