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VFG-6-2023 vom 4. Mai 2023</w:t>
      </w:r>
    </w:p>
    <w:p>
      <w:r>
        <w:t>PostCom, 2023-05-04, DE</w:t>
      </w:r>
    </w:p>
    <w:p>
      <w:r>
        <w:rPr>
          <w:b/>
        </w:rPr>
        <w:t xml:space="preserve">Quelle: </w:t>
      </w:r>
      <w:r>
        <w:t>https://mcp.opencaselaw.ch/entscheid/postcom_VFG-6-2023</w:t>
      </w:r>
    </w:p>
    <w:p>
      <w:r>
        <w:t>FR: POSTCOM VFG-6-2023 du 4 mai 2023</w:t>
      </w:r>
    </w:p>
    <w:p>
      <w:r>
        <w:t>IT: POSTCOM VFG-6-2023 del 4 maggio 2023</w:t>
      </w:r>
    </w:p>
    <w:p>
      <w:pPr>
        <w:pStyle w:val="Heading2"/>
      </w:pPr>
      <w:r>
        <w:t>Erwägungen</w:t>
      </w:r>
    </w:p>
    <w:p>
      <w:r>
        <w:rPr>
          <w:b/>
        </w:rPr>
        <w:t>E. 8</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9</w:t>
      </w:r>
    </w:p>
    <w:p>
      <w:r>
        <w:t>Die Gesuchsteller sind als Eigentümer der Liegenschaft durch die angedrohte Einstellung der Hauszustellung in ihren Rechten und Pflichten berührt. Sie sind somit im vorliegenden Verfahren Partei im Sinne von Art. 6 VwVG und können der PostCom den Erlass einer anfechtbaren Verfü- gung betreffend den Briefkastenstandort beantragen.</w:t>
      </w:r>
    </w:p>
    <w:p>
      <w:r>
        <w:rPr>
          <w:b/>
        </w:rPr>
        <w:t>E. 10</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Schutz stehender Gebäude beeinträchtigt wird. Die Auf- zählung dieser Ausnahmen ist abschliessend (vgl. Erläuterungsbericht vom 29. August 2012 zur VPG, S. 32; www.postcom.admin.ch  Dokumentation  Gesetzgebung). Die Standortvorschriften von Art. 73 ff. VPG sind das Ergebnis einer Interessenabwägung. Sie sollen einerseits dem Inte- resse der Kundschaft dienen, Postsendungen möglichst an der Haustüre in Empfang nehmen zu können, andererseits aber den Postdiensteanbieterinnen eine rationelle Zustellung ermöglichen (vgl. Erläuterungsbericht zu Art. 74, S. 32). Bei den Vorgaben zu den Hausbriefkästen hat der Verordnungsgeber nicht nur den Zustellaufwand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Briefkastenanlagen nach den Artikeln 73-75 nicht eingehalten sind (Art. 31 Abs. 2 Bst. c VPG).</w:t>
      </w:r>
    </w:p>
    <w:p>
      <w:r>
        <w:rPr>
          <w:b/>
        </w:rPr>
        <w:t>E. 11</w:t>
      </w:r>
    </w:p>
    <w:p>
      <w:r>
        <w:t>Unbestritten ist, dass der bestehende Briefkastenstandort frei zugänglich im Sinne von Art. 73 Abs. 1 VPG ist, weshalb auf diese Vorbringen der Gesuchsteller nicht eingegangen wird. Strittig ist hingegen, wo die relevante Grundstücksgrenze im Sinne von Art. 74 Abs. 1 VPG verläuft. Nach Praxis des Bundesverwaltungsgerichts (Urteil des Bundesverwaltungsgerichts A-5165/2016 vom 23. Januar 2017, E. 5.1) und der darauf gestützten Praxis der PostCom (vgl. Verfügungen der PostCom Nr. 3/2017 vom 24. Januar 2017, Nr. 17/2017 vom 5. Oktober 2017 und Nr. 24/2018 vom 6. Dezember 2018; veröffentlicht unter www.postcom.admin.ch) ist der Briefkasten am Schnittpunkt der Grundstücksgrenze mit dem üblichen und grundsätzlich von allen verwendeten Weg zum Eingang des Hauses aufzustellen. Weiter hält das Bundesverwaltungsgericht fest, dass für die Bestimmung des allgemein benutzten Hauszugangs insbesondere von Bedeutung ist, wo ein Post- bzw. Zustellungsbote normalerweise das Grundstück betritt.</w:t>
      </w:r>
    </w:p>
    <w:p>
      <w:r>
        <w:rPr>
          <w:b/>
        </w:rPr>
        <w:t>E. 12</w:t>
      </w:r>
    </w:p>
    <w:p>
      <w:r>
        <w:t>Im vorliegenden Fall ist die Grundstücksgrenze im Sinne von Art. 74 Abs. 1 VPG demzufolge beim Übergang von der Gemeinschaftsparzelle zur Parzelle Nr. xx8 anzunehmen, der korrekte Briefkastenstandort somit an dortiger Stelle, links oder rechts der Zufahrt. Dies entspricht dem Standortvorschlag der Post.</w:t>
      </w:r>
    </w:p>
    <w:p>
      <w:r>
        <w:rPr>
          <w:b/>
        </w:rPr>
        <w:t>E. 13</w:t>
      </w:r>
    </w:p>
    <w:p>
      <w:r>
        <w:t>Die Ausführungen der Gesuchsteller, dass der Briefkasten an der Grenze zur Nachbarsparzelle stehe und somit die Anforderungen von Art. 74 Abs. 1 VPG erfülle, zielen ins Leere, da der</w:t>
      </w:r>
    </w:p>
    <w:p>
      <w:r>
        <w:t>4/5 PostCom-D-13B13401/52 Aktenzeichen: PostCom-033-14/3/5</w:t>
      </w:r>
    </w:p>
    <w:p>
      <w:r>
        <w:t>allgemein benutzte Zugang dort die Grundstücksgrenze nicht schneidet. Der bestehende Briefkas- ten befindet sich zwölf Meter von dieser Grundstücksgrenze entfernt und entspricht nicht den Vor- gaben von Art. 74 Abs. 1 VPG. Hinweise auf das Vorliegen einer Ausnahme im Sinne von Art. 75 VPG sind keine ersichtlich und werden auch nicht vorgebracht. Inwiefern Gründe der Verkehrssi- cherheit gegen eine Versetzung des Briefkastens sprechen sollten, ist ebenso nicht ersichtlich und wird von den Gesuchstellern auch nicht weiter ausgeführt. Gleich verhält es sich mit der Dieb- stahlsgefahr.</w:t>
      </w:r>
    </w:p>
    <w:p>
      <w:r>
        <w:rPr>
          <w:b/>
        </w:rPr>
        <w:t>E. 14</w:t>
      </w:r>
    </w:p>
    <w:p>
      <w:r>
        <w:t>Der heutige Briefkastenstandort verursacht der Post wie auch den übrigen Postdiensteanbieterin- nen bei der Zustellung einen Mehrweg von 24 m. Zwar vermag der Mehraufwand für die Zustellung im Einzelfall bescheiden erscheinen. Wegen der Grundversorgungsverpflichtung der Post ist er je- doch nicht nur im konkreten Einzelfall in Betracht zu ziehen, sondern auf sämtliche Postkunden in der ganzen Schweiz in vergleichbarer Situation hochzurechnen (vgl. Urteil des Bundesverwal- tungsgerichts A-5165/2016 vom 23. Januar 2017, Erw. 8). Dies ergibt einen beträchtlichen Mehr- aufwand für die Bedienung des bestehenden Briefkastens, der das Interesse der Gesuchsteller an der Beibehaltung der Situation überwiegt. Damit ist auch die Verhältnismässigkeit der geforderten Massnahme, nämlich der Versetzung des Hausbriefkastens, gegeben.</w:t>
      </w:r>
    </w:p>
    <w:p>
      <w:r>
        <w:rPr>
          <w:b/>
        </w:rPr>
        <w:t>E. 15</w:t>
      </w:r>
    </w:p>
    <w:p>
      <w:r>
        <w:t>Zusammenfassend ist festzuhalten, dass der bestehende Briefkastenstandort nicht mit Art. 74 Abs. 1 VPG vereinbar ist. Die Post ist gestützt auf Art. 31 Abs. 2 Bst. c VPG nicht zur Hauszustellung verpflichtet. Es steht den Gesuchstellern frei, entweder den Briefkasten zu versetzen oder auf die Hauszustellung zu verzichten (Art. 31 Abs. 2 Bst. c VPG).</w:t>
      </w:r>
    </w:p>
    <w:p>
      <w:r>
        <w:rPr>
          <w:b/>
        </w:rPr>
        <w:t>E. 16</w:t>
      </w:r>
    </w:p>
    <w:p>
      <w:r>
        <w:t>Damit sind die Anträge der Gesuchsteller abzuweisen. Bei diesem Verfahrensausgang sind die Verfahrenskosten in der Höhe von 200 Franken den Gesuchstellern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