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VFG-23-2023 vom 7. Dezember 2023</w:t>
      </w:r>
    </w:p>
    <w:p>
      <w:r>
        <w:t>PostCom, 2023-12-07, DE</w:t>
      </w:r>
    </w:p>
    <w:p>
      <w:r>
        <w:rPr>
          <w:b/>
        </w:rPr>
        <w:t xml:space="preserve">Quelle: </w:t>
      </w:r>
      <w:r>
        <w:t>https://mcp.opencaselaw.ch/entscheid/postcom_VFG-23-2023</w:t>
      </w:r>
    </w:p>
    <w:p>
      <w:r>
        <w:t>FR: POSTCOM VFG-23-2023 du 7 décembre 2023</w:t>
      </w:r>
    </w:p>
    <w:p>
      <w:r>
        <w:t>IT: POSTCOM VFG-23-2023 del 7 dicembre 2023</w:t>
      </w:r>
    </w:p>
    <w:p>
      <w:pPr>
        <w:pStyle w:val="Heading2"/>
      </w:pPr>
      <w:r>
        <w:t>Erwägungen</w:t>
      </w:r>
    </w:p>
    <w:p>
      <w:r>
        <w:rPr>
          <w:b/>
        </w:rPr>
        <w:t>E. 10</w:t>
      </w:r>
    </w:p>
    <w:p>
      <w:r>
        <w:t>Die PostCom erlässt gestützt auf Art. 22 Abs. 1 und Abs. 2 Bst. e des Postgesetzes vom 17. De- zember 2010 (PG, SR 783.0) Verfügungen betreffend die Einhaltung des gesetzlichen Auftrags zur Grundversorgung gemäss Art. 13 – 17 PG. In Anwendung von Art. 76 VPG verfügt sie bei Streitigkeiten über Briefkästen und Briefkastenanlagen. Das Verfahren vor der PostCom, einer Eidgenössischen Kommission, richtet sich nach dem Verwaltungsverfahrensgesetz vom 20. De- zember 1968 (VwVG, SR 172.021; vgl. Art. 1 Abs. 1 und Abs. 2 Bst. d VwVG).</w:t>
      </w:r>
    </w:p>
    <w:p>
      <w:r>
        <w:rPr>
          <w:b/>
        </w:rPr>
        <w:t>E. 10.1</w:t>
      </w:r>
    </w:p>
    <w:p>
      <w:r>
        <w:t>Die Gesuchsteller, allesamt Eigentümer der Liegenschaften an der G.____strasse, haben das Gesuch vom 11. Mai 2023 unterzeichnet und im vorliegenden Verfahren einen Vertreter im Sinne von Art. 11 Abs. 1 VwVG bestimmt.</w:t>
      </w:r>
    </w:p>
    <w:p>
      <w:r>
        <w:rPr>
          <w:b/>
        </w:rPr>
        <w:t>E. 10.2</w:t>
      </w:r>
    </w:p>
    <w:p>
      <w:r>
        <w:t>Die Post ist im vorliegenden Verfahren Gegenpartei im Sinne von Art. 6 VwVG, da die zu tref- fende Verfügung sie in ihren Rechten und Pflichten berührt.</w:t>
      </w:r>
    </w:p>
    <w:p>
      <w:r>
        <w:rPr>
          <w:b/>
        </w:rPr>
        <w:t>E. 11</w:t>
      </w:r>
    </w:p>
    <w:p>
      <w:r>
        <w:t>Zwischen den Gesuchstellern und der Gesuchsgegnerin ist streitig, ob die Post zur Zustellung der Postsendungen verpflichtet ist, wenn die Gesuchsteller ihre Hausbriefkästen an der Haus- wand neben den Haustüren zwischen 3,5 m und 4,8 m von der Grundstücksgrenze entfernt an- gebracht haben. Von der PostCom ist somit der verordnungskonforme Briefkastenstandort per Verfügung festzulegen.</w:t>
      </w:r>
    </w:p>
    <w:p>
      <w:r>
        <w:rPr>
          <w:b/>
        </w:rPr>
        <w:t>E. 12</w:t>
      </w:r>
    </w:p>
    <w:p>
      <w:r>
        <w:t>Der Bundesrat hat gestützt auf die Delegation in Art. 10 PG in den Art. 73 ff. VPG die Bestim- mungen über die Hausbriefkästen erlassen. Bei Ein- und Zweifamilienhäusern sind die Briefkäs- ten an der Grundstücksgrenze beim allgemein benutzten Zugang zum Haus aufzustellen (Art. 74 Abs. 1 VPG). Bei Mehrfamilienhäusern kann die Briefkastenanlage im Bereich der Hauszugänge aufgestellt werden, sofern der Zugang von der Strasse her möglich ist. Gemäss ständiger Praxis gestützt auf den Erläuterungsbericht des UVEK zur VPG gelten als Mehrfamilienhäuser Liegen- schaften mit mehr als zwei Wohnungen (vgl. Erläuterungsbericht-UVEK, S. 32, abrufbar unter https://www.postcom.admin.ch/inhalte/PDF/Gesetzgebung/Erlaeuterungsbericht-Postverord- nung-d-20120829.pdf und unter vielen Verfügung 8/2015 der PostCom vom 7. Mai 2015, Erw. 9 ff., bestätigt durch Urteil A-3713/2015 des Bundesverwaltungsgerichts vom 27. April 2016, Erw. 7).</w:t>
      </w:r>
    </w:p>
    <w:p>
      <w:r>
        <w:t>Aktenzeichen: PostCom-033-14/8/12</w:t>
      </w:r>
    </w:p>
    <w:p>
      <w:r>
        <w:t>PostCom-D-03D73401/3 4/5</w:t>
      </w:r>
    </w:p>
    <w:p>
      <w:r>
        <w:rPr>
          <w:b/>
        </w:rPr>
        <w:t>E. 12.1</w:t>
      </w:r>
    </w:p>
    <w:p>
      <w:r>
        <w:t>Gestützt auf diese Bestimmung und die Auslegung ist vorliegend nicht von einem Mehrfamilien- haus auszugehen, da die sechs Reiheneinfamilienhäuser keinen gemeinsamen Zugang zur Strasse haben: jede Zugangstreppe erschliesst von der Strasse her nur zwei Reiheneinfamilien- häuser und damit weniger als drei Einheiten. Damit können die Briefkästen nicht bei den Haus- zugängen stehen, sondern sind in Anwendung von Art. 74 Abs. 1 VPG an die Grundstücks- grenze zu versetzen.</w:t>
      </w:r>
    </w:p>
    <w:p>
      <w:r>
        <w:rPr>
          <w:b/>
        </w:rPr>
        <w:t>E. 12.2</w:t>
      </w:r>
    </w:p>
    <w:p>
      <w:r>
        <w:t>Gegen die Versetzung bringen die Gesuchsteller einerseits vor, die Vorgärten eigneten sich nicht für eine Platzierung von je einem Doppelbriefkasten pro Treppe, da der Strassenabstand nicht gewährleistet sei. Dazu ist festzuhalten, dass die Briefkästen nicht auf der Grenze, sondern an der Grenze stehen müssen. Eine Leerung derselben kann möglich sein, ohne dass dafür die Fahrbahn zu betreten ist. Da es sich um eine verkehrsberuhigte Erschliessungsstrasse handelt, die keinen Durchgangsverkehr aufnimmt, kann den Gesuchstellern nicht gefolgt werden, wenn sie von einer Verkehrsgefährdung durch die Briefkästen an der Strasse ausgehen.</w:t>
      </w:r>
    </w:p>
    <w:p>
      <w:r>
        <w:rPr>
          <w:b/>
        </w:rPr>
        <w:t>E. 12.3</w:t>
      </w:r>
    </w:p>
    <w:p>
      <w:r>
        <w:t>Wie die Post zurecht vorbringt, wir der Zustellaufwand um vieles höher, wenn zusätzliche Stre- cken zu überwinden sind. Nach ständiger Praxis der PostCom und des Bundesverwaltungsge- richts ist der zusätzliche Aufwand insgesamt massgebend, auch wenn der Aufwand im Einzelfall gering erscheinen mag (Verfügung 6/2022 der PostCom vom 5. Mai 2022, Erw. 16.3; Urteil A- 8126/2010 des Bundesverwaltungsgerichts vom 28. April 2011, E. 3.3.). Vorliegend kommt zur Distanz hinzu, dass zwischen vier und zehn Treppenstufen zu überwinden sind, um zu den Briefkästen bei den drei Hauseingängen zu gelangen. Dem aktuellen Zustand gegenüber er- möglicht die Lage der Briefkästen an der Strasse eine einfachere und effizientere Zustellung.</w:t>
      </w:r>
    </w:p>
    <w:p>
      <w:r>
        <w:rPr>
          <w:b/>
        </w:rPr>
        <w:t>E. 12.4</w:t>
      </w:r>
    </w:p>
    <w:p>
      <w:r>
        <w:t>Schliesslich machen die Gesuchsteller geltend, es sei von der Post zu akzeptieren, dass die Si- tuation schon seit der Erstellung der Häuser im Jahr 2000 bestehe. Eine Versetzung sei ange- sichts der verlaufenen Zeit unverhältnismässig. Dazu gibt es ebenfalls eine klare Praxis: Bereits die Postverordnung von 1998 erlaubte keine solchen Standorte mehr, womit die Briefkästen be- reits im Jahr 2000 nicht dem geltenden Recht entsprochen haben. Die Post nimmt eine Umset- zungsfunktion wahr, die sie nicht schweizweit gleichzeitig vornehmen kann. Aus der langen Zeit, in der die Briefkästen gelduldet worden sind, können die Gesuchsteller aber nichts zu ihren Gunsten ableiten (Urteil A-2021/2016 des Bundesverwaltungsgerichts vom 8. November 2016, Erw. 4.2).</w:t>
      </w:r>
    </w:p>
    <w:p>
      <w:r>
        <w:rPr>
          <w:b/>
        </w:rPr>
        <w:t>E. 13</w:t>
      </w:r>
    </w:p>
    <w:p>
      <w:r>
        <w:t>Betreffend den zweiten Vorschlag der Post, eine gemeinsame Briefkastenanlage an der Haus- mauer bei der Einstellgarage anzubringen, ist darauf hinzuweisen, dass dieser nicht verord- nungskonform wäre, da sich dort nicht die Hauszugänge befinden und die Reiheneinfamilien- häuser auch keinen gemeinsamen, sondern insgesamt drei Zugänge zur Strasse haben.</w:t>
      </w:r>
    </w:p>
    <w:p>
      <w:r>
        <w:rPr>
          <w:b/>
        </w:rPr>
        <w:t>E. 14</w:t>
      </w:r>
    </w:p>
    <w:p>
      <w:r>
        <w:t>Im Ergebnis ist festzuhalten, dass die Gesuchsteller ihre Hausbriefkästen paarweise an der Grundstücksgrenze zur Erschliessungsstrasse anzubringen haben. Die Doppelbriefkästen ha- ben sie links oder rechts der drei Zugangstreppen zu den Hauseingängen anzubringen, damit die Post weiterhin zur Zustellung verpflichtet ist (Art. 31 Abs. 2 Bst. c VPG).</w:t>
      </w:r>
    </w:p>
    <w:p>
      <w:r>
        <w:rPr>
          <w:b/>
        </w:rPr>
        <w:t>E. 15</w:t>
      </w:r>
    </w:p>
    <w:p>
      <w:r>
        <w:t>Bei diesem Verfahrensausgang ist die Entscheidgebühr auf Fr. 200.- festzusetzen und den Ge- suchstellern aufzuerlegen (Art. 4 Abs. 1 Bst. g Gebührenreglement der Postkommission vom 26. August 2013, SR 783.018).</w:t>
      </w:r>
    </w:p>
    <w:p>
      <w:r>
        <w:t>Aktenzeichen: PostCom-033-14/8/12</w:t>
      </w:r>
    </w:p>
    <w:p>
      <w:r>
        <w:t>PostCom-D-03D73401/3 5/5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