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VFG-20-2025 vom 11. Dezember 2025</w:t>
      </w:r>
    </w:p>
    <w:p>
      <w:r>
        <w:t>PostCom, 2025-12-11, DE</w:t>
      </w:r>
    </w:p>
    <w:p>
      <w:r>
        <w:rPr>
          <w:b/>
        </w:rPr>
        <w:t xml:space="preserve">Quelle: </w:t>
      </w:r>
      <w:r>
        <w:t>https://mcp.opencaselaw.ch/entscheid/postcom_VFG-20-2025</w:t>
      </w:r>
    </w:p>
    <w:p>
      <w:r>
        <w:t>FR: POSTCOM VFG-20-2025 du 11 décembre 2025</w:t>
      </w:r>
    </w:p>
    <w:p>
      <w:r>
        <w:t>IT: POSTCOM VFG-20-2025 del 11 dicembre 2025</w:t>
      </w:r>
    </w:p>
    <w:p>
      <w:pPr>
        <w:pStyle w:val="Heading2"/>
      </w:pPr>
      <w:r>
        <w:t>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Die Gesuchsteller sind als Eigentümer der Liegenschaft durch die Verweigerung der Aufnahme der Hauszustellung in ihren Rechten und Pflichten berührt. Sie sind somit im vorliegenden Verfah- ren Partei im Sinne von Art. 6 VwVG und können bei der PostCom den Erlass einer anfechtbaren Verfügung betreffend den Briefkastenstandort beantragen.</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 Dokumentation  Gesetzgebung). Die Post ist nicht zur Hauszustellung verpflichtet, wenn die Vorgaben für die Briefkästen und Briefkastenanlagen nach den Artikeln 73-75 nicht eingehalten sind (Art. 31 Abs. 2 Bst. c VPG).</w:t>
      </w:r>
    </w:p>
    <w:p>
      <w:r>
        <w:rPr>
          <w:b/>
        </w:rPr>
        <w:t>E. 10</w:t>
      </w:r>
    </w:p>
    <w:p>
      <w:r>
        <w:t>Im vorliegenden Fall ist strittig, ob der bestehende Briefkastenstandort den Vorgaben der Postver- ordnung entspricht. Im Folgenden ist deshalb zu prüfen, wo sich der korrekte Briefkastenstandort im Sinne von Art. 74 Abs. 1 VPG befindet. Nach Praxis des Bundesverwaltungsgerichts und der PostCom ist der Briefkasten am Schnitt- punkt der Grundstücksgrenze mit dem üblichen und grundsätzlich von allen verwendeten Weg zum Eingang des Hauses aufzustellen. Für die Bestimmung des allgemein benutzten Hauszu- gangs ist insbesondere von Bedeutung, wo der Zustellungsbote normalerweise das Grundstück betritt (Urteile des Bundesverwaltungsgerichts A-3279/2023 vom 16. Juli 2024, E. 5.2, sowie A- 5165/2016 vom 23. Januar 2017, E. 5.1; Verfügungen der PostCom 1/2024 vom 28. März 2024 Ziff. 8, 11/2023 vom 24. August 2023 Ziff. 12, 9/2023 vom 15. Juni 2023 Ziff. 11). Gemäss Praxis der PostCom ist bei Grundstücken, die keine Einfriedung gegen die Strasse aufweisen, der Vor- platz in seiner ganzen Breite als allgemein benutzter Zugang zu betrachten (vgl. beispielsweise die Verfügungen der PostCom 9/2024 vom 24. Oktober 2024, Ziff. 12; 17/2022 vom 6. Oktober</w:t>
      </w:r>
    </w:p>
    <w:p>
      <w:r>
        <w:t>Aktenzeichen: PostCom-033-16/14/6</w:t>
      </w:r>
    </w:p>
    <w:p>
      <w:r>
        <w:t>PostCom-D-44023501/27 4/5 2022, Ziff. 12; 24/2018 vom 6. Dezember 2018, Ziff. 12). Im vorliegenden Fall verläuft die Grund- stücksgrenze am Übergang des Vorplatzes zur Fahrbahn. Der nicht eingefriedete Vorplatz er- streckt sich über die gesamte Breite des Grundstücks. Die Standortvorschläge der Post am rech- ten Rand des Vorplatzes und auf der Höhe des Hauseingangs entsprechen somit den Vorgaben von Art. 74 Abs. 1 VPG. Verordnungskonform ist jedoch jeder Standort entlang dieser Grund- stücksgrenze. Der bestehende Briefkasten mit einer Distanz von 2,40 – 2,50 m zur Grundstücks- grenze ist nicht mit Art. 74 Abs. 1 VPG vereinbar.</w:t>
      </w:r>
    </w:p>
    <w:p>
      <w:r>
        <w:rPr>
          <w:b/>
        </w:rPr>
        <w:t>E. 11</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14/2016 der PostCom vom 6. Mai 2016 E. 6 ff. mit Verweis auf Urteil 2C_827/2012 des Bundesgerichts vom 19. April 2013, E. 4.6 sowie Verfügung 2/2018 der Post- Com vom 25. Januar 2018, E. 14). Im Folgenden ist zu prüfen, ob im vorliegenden Fall besondere Umstände vorliegen, wegen denen der Briefkasten nicht direkt an der Grundstücksgrenze aufge- stellt werden kann. Die Gesuchsteller bringen vor, dass ein Briefkasten an der Grundstücksgrenze entweder die Nachbarn bei der Zufahrt zu deren Parkplatz oder Carport behindern, oder die Nutzung ihres eige- nen Parkplatzes entlang des Vorplatzes blockieren würde. Dazu ist festzuhalten, dass der Vor- platz eine Breite von rund 20 m aufweist. Ein sorgfältig gewählter Briefkastenstandort an der Grundstücksgrenze würde die Nutzung als Parkplatz deshalb kaum über die gesamte Breite ver- hindern. Gemäss Praxis der PostCom hat die Eigentümerschaft bei der Gestaltung und Nutzung des Grundstücks grundsätzlich die Anforderungen der Postgesetzgebung an den Briefkasten- standort zu beachten, wenn sie die Dienstleistung der Hauszustellung in Anspruch nehmen will, und dabei Einschränkungen der bevorzugten Art der Nutzung hinzunehmen (vgl. Verfügungen der PostCom Nr. 4/2024 vom 2. Mai 2024, Ziff. 11; Nr. 19/2023 vom 19. Oktober 2023, Ziff. 14; Nr. 17/2023 vom 19. Oktober 2023, Ziff. 14). Des Weiteren würde ein Briefkasten an der Grund- stücksgrenze den Verkehr auf der rund 4,80 m breiten Erschliessungsstrasse nicht erheblich be- hindern, zumal diese wenige Meter nach der Parzelle der Gesuchsteller in einer Sackgasse endet und dabei nur noch zwei weitere Parzellen erschliesst. Es liegt somit kein Durchgangsverkehr vor, der im Falle eines kurzfristig abgestellten Fahrzeugs auf der Fahrbahn ein Kreuzen der Fahrzeuge erschweren würde. Die Gesuchsteller sind jedoch frei, den für sie geeignetsten Standort an der Grundstücksgrenze entlang der gesamten Breite des Vorplatzes zu wählen.</w:t>
      </w:r>
    </w:p>
    <w:p>
      <w:r>
        <w:rPr>
          <w:b/>
        </w:rPr>
        <w:t>E. 12</w:t>
      </w:r>
    </w:p>
    <w:p>
      <w:r>
        <w:t>Die Gesuchsteller erachten die geforderte Versetzung der Briefkästen angesichts der geringen Distanz als unverhältnismässig. Dazu ist festzuhalten, dass der heutige Briefkastenstandort der Post wie auch den übrigen Postdiensteanbieterinnen bei der Zustellung einen Mehrweg von rund 5 m (total hin und zurück) verursacht, insbesondere wenn der Vorplatz nicht befahrbar ist. Die Ge- suchsteller können nicht garantieren, dass auf dem Vorplatz keine Fahrzeuge oder andere Dinge abgestellt werden, welche die Befahrbarkeit erschweren oder verhindern würden. Zwar mag der Mehraufwand für die Zustellung im Einzelfall bescheiden erscheinen. Wegen der Grundversor- gungsverpflichtung der Post ist er jedoch nicht nur im konkreten Einzelfall in Betracht zu ziehen, sondern auf sämtliche Postkunden in der ganzen Schweiz in vergleichbarer Situation hochzurech- nen (vgl. Urteil des Bundesverwaltungsgerichts A-5165/2016 vom 23. Januar 2017, E. 8). Hinzu kommt, dass die Standortvorschriften von Art. 73 ff. VPG das Ergebnis einer Interessenabwägung sind. Sie sollen einerseits dem Interesse der Kundschaft dienen, Postsendungen möglichst an der Haustüre in Empfang nehmen zu 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Demzufolge kann der Briefkastenstandort nicht von der Zustellroute und der Wahl des Zustellfahrzeugs abhängig ge- macht werden. Dies ergibt einen beträchtlichen Mehraufwand für die Bedienung der bestehenden Briefkästen, der das Interesse der Gesuchsteller an der Beibehaltung der bestehenden Situation</w:t>
      </w:r>
    </w:p>
    <w:p>
      <w:r>
        <w:t>Aktenzeichen: PostCom-033-16/14/6</w:t>
      </w:r>
    </w:p>
    <w:p>
      <w:r>
        <w:t>PostCom-D-44023501/27 5/5 überwiegt. Damit ist die Verhältnismässigkeit der geforderten Massnahme, nämlich der Platzie- rung des Briefkastens an der Grundstücksgrenze, gegeben.</w:t>
      </w:r>
    </w:p>
    <w:p>
      <w:r>
        <w:rPr>
          <w:b/>
        </w:rPr>
        <w:t>E. 13</w:t>
      </w:r>
    </w:p>
    <w:p>
      <w:r>
        <w:t>Zusammenfassend ist festzuhalten, dass der bestehende Briefkastenstandort nicht den Vorgaben der Postverordnung entspricht. Die Post ist gestützt auf Art. 31 Abs. 2 Bst. c VPG nicht zur Haus- zustellung verpflichtet. Es steht den Gesuchstellern frei, entweder den Briefkasten an der Grund- stücksgrenze zu errichten oder auf die Hauszustellung zu verzichten (Art. 31 Abs. 2 Bst. c VPG).</w:t>
      </w:r>
    </w:p>
    <w:p>
      <w:r>
        <w:rPr>
          <w:b/>
        </w:rPr>
        <w:t>E. 14</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