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VFG-19-2023 vom 19. Oktober 2023</w:t>
      </w:r>
    </w:p>
    <w:p>
      <w:r>
        <w:t>PostCom, 2023-10-19, DE</w:t>
      </w:r>
    </w:p>
    <w:p>
      <w:r>
        <w:rPr>
          <w:b/>
        </w:rPr>
        <w:t xml:space="preserve">Quelle: </w:t>
      </w:r>
      <w:r>
        <w:t>https://mcp.opencaselaw.ch/entscheid/postcom_VFG-19-2023</w:t>
      </w:r>
    </w:p>
    <w:p>
      <w:r>
        <w:t>FR: POSTCOM VFG-19-2023 du 19 octobre 2023</w:t>
      </w:r>
    </w:p>
    <w:p>
      <w:r>
        <w:t>IT: POSTCOM VFG-19-2023 del 19 ottobre 2023</w:t>
      </w:r>
    </w:p>
    <w:p>
      <w:pPr>
        <w:pStyle w:val="Heading2"/>
      </w:pPr>
      <w:r>
        <w:t>Erwägungen</w:t>
      </w:r>
    </w:p>
    <w:p>
      <w:r>
        <w:rPr>
          <w:b/>
        </w:rPr>
        <w:t>E. 9</w:t>
      </w:r>
    </w:p>
    <w:p>
      <w:r>
        <w:t>Die PostCom verfügt gestützt auf Art. 22 Abs. 1 sowie Abs. 2 Bst. e des Postgesetzes vom 17. Dezember 2010 (PG, SR 783.0) in Verbindung mit Art. 76 der Postverordnung vom 29. August 2012 (VPG; SR 783.01) bei Streitigkeiten betreffend Briefkästen und Briefkastenanlagen. Sie ist somit zur Behandlung des vorliegenden Gesuchs zuständig. Auf das Verfahren ist das Verwal- tungsverfahrensgesetz vom 20. Dezember 1968 anwendbar (Art. 1 Abs.1 und Abs. 2 Bst. d VwVG, SR 172.021).</w:t>
      </w:r>
    </w:p>
    <w:p>
      <w:r>
        <w:rPr>
          <w:b/>
        </w:rPr>
        <w:t>E. 10</w:t>
      </w:r>
    </w:p>
    <w:p>
      <w:r>
        <w:t>Die Gesuchsteller sind als Eigentümer der Liegenschaft durch die angedrohte Einstellung der Hauszustellung in ihren Rechten und Pflichten berührt. Sie sind somit im vorliegenden Verfahren Partei im Sinne von Art. 6 VwVG und können den Erlass einer anfechtbaren Verfügung betreffend den Briefkastenstandort beantragen.</w:t>
      </w:r>
    </w:p>
    <w:p>
      <w:r>
        <w:rPr>
          <w:b/>
        </w:rPr>
        <w:t>E. 11</w:t>
      </w:r>
    </w:p>
    <w:p>
      <w:r>
        <w:t>Die Eigentümer einer Liegenschaft müssen für die Zustellung von Postsendungen auf eigene Kos- ten einen frei zugänglichen Briefkasten oder eine frei zugängliche Briefkastenanlage einrichten</w:t>
      </w:r>
    </w:p>
    <w:p>
      <w:r>
        <w:t>4/5 PostCom-D-06B33401/615 Aktenzeichen: PostCom-213.2-Verfahren 2023/8</w:t>
      </w:r>
    </w:p>
    <w:p>
      <w:r>
        <w:t>(Art. 73 Abs. 1 VPG). Gestützt auf Art. 74 Abs. 1 VPG ist der Briefkasten an der Grundstücks- grenze beim allgemein benutzten Zugang aufzustellen. Sind verschiedene Standorte möglich, so ist derjenige zu wählen, der am nächsten zur Strasse liegt (Art. 74 Abs. 2 VPG). Bei Mehrfamilien- und Geschäftshäusern kann die Briefkastenanlage im Bereich der Hauszugänge aufgestellt wer- den, sofern der Zugang von der Strasse her möglich ist (Art. 74 Abs. 3 VPG). Die Standortvor- schriften von Art. 73 ff. VPG sind das Ergebnis einer Interessenabwägung. Sie sollen einerseits dem Interesse der Kundschaft dienen, Postsendungen möglichst an der Haustüre in Empfang nehmen zu können, andererseits aber den Postdiensteanbieterinnen eine rationelle Zustellung ermöglichen (vgl. Erläuterungsbericht vom 29. August 2012 zur VPG zu Art. 74, S. 32; www.post- com.admin.ch &gt; Dokumentation &gt; Gesetzgebung). Bei den Vorgaben zu den Hausbriefkästen hat der Verordnungsgeber nicht nur den Zustellungsaufwand der Post, sondern auch denjenigen der anderen Postdiensteanbieterinnen im Blick gehabt. Demzufolge kann der Briefkastenstandort nicht von der Zustellroute und der Wahl des Zustellfahrzeugs abhängig gemacht werden. Die Post ist nicht zur Hauszustellung verpflichtet, wenn die Vorgaben für die Briefkästen und Briefkasten- anlagen nach den Artikeln 73-75 nicht eingehalten sind (Art. 31 Abs. 2 Bst. c VPG).</w:t>
      </w:r>
    </w:p>
    <w:p>
      <w:r>
        <w:rPr>
          <w:b/>
        </w:rPr>
        <w:t>E. 12</w:t>
      </w:r>
    </w:p>
    <w:p>
      <w:r>
        <w:t>Im Folgenden ist somit der korrekte Standort nach Art. 74 Abs. 1 und 2 VPG zu ermitteln. Nach Praxis des Bundesverwaltungsgerichts ist der Briefkasten am Schnittpunkt der Grundstücks- grenze mit dem üblichen und grundsätzlich von allem verwendeten Weg zum Eingang des Hauses aufzustellen (Urteil des Bundesverwaltungsgerichts A-5165/2016 vom 23. Januar 2017, E. 5.1). Gemäss Praxis der PostCom ist bei Grundstücken, die keine Einfriedung gegen die Strasse auf- weisen, der Vorplatz in seiner ganzen Breite als allgemein benutzter Zugang zu betrachten (vgl. beispielsweise die Verfügungen der PostCom Nr. 17/2022 vom 6. Oktober 2022, Ziff. 8; Nr. 24/2018 vom 6. Dezember 2018, Ziff. 12; Nr. 6/2017 vom 2. März 2017, Ziff. 18; abrufbar unter www.postcom.admin.ch -&gt; Dokumentation -&gt; Verfügungen). Der bestehende Briefkasten mit einer Distanz von ca. 14,2 Metern zur Grundstücksgrenze erfüllt diese Vorgaben klar nicht. Verord- nungskonforme Standorte befinden sich beim Übergang des Vorplatzes zur Strasse.</w:t>
      </w:r>
    </w:p>
    <w:p>
      <w:r>
        <w:rPr>
          <w:b/>
        </w:rPr>
        <w:t>E. 13</w:t>
      </w:r>
    </w:p>
    <w:p>
      <w:r>
        <w:t>Die Gesuchsteller beanstanden, dass der von der Post aufgezeigte Standort nicht tauglich sei. Besondere Gründe, wie Gebrechlichkeit oder schwere Krankheit, die gegebenenfalls zu einer an- deren Einschätzung führen könnten, werden nicht geltend gemacht.</w:t>
      </w:r>
    </w:p>
    <w:p>
      <w:r>
        <w:rPr>
          <w:b/>
        </w:rPr>
        <w:t>E. 14</w:t>
      </w:r>
    </w:p>
    <w:p>
      <w:r>
        <w:t>Auch die von den Gesuchstellern vorgebrachte Behinderung des Verkehrs auf der Strasse kann nicht berücksichtigt werden. Weshalb eine Platzierung des Briefkastens an der Grundstücks- grenze den Verkehr auf der Strasse behindern würde, ist nicht ersichtlich. Der Grundeigentümer ist verpflichtet, einen geeigneten Briefkastenstandort an der Grundstücksgrenze zu finden und dafür auch gestalterische Kompromisse oder Einschränkungen in der von ihm bevorzugten Art der Nutzung seines Grundeigentums hinzunehmen (vgl. Verfügung PostCom 11/2019 vom 13. Juni 2019, Ziff. 15).</w:t>
      </w:r>
    </w:p>
    <w:p>
      <w:r>
        <w:rPr>
          <w:b/>
        </w:rPr>
        <w:t>E. 15</w:t>
      </w:r>
    </w:p>
    <w:p>
      <w:r>
        <w:t>Der heutige Briefkasten mit einer Distanz von ca. 14,2 Metern zur Grundstücksgrenze verursacht der Post wie auch den übrigen Zustellern einen Mehraufwand, unabhängig davon, ob der Vorplatz befahrbar ist oder nicht. Zwar mag der Mehraufwand für die Zustellung im Einzelfall bescheiden erscheinen. Wegen der Grundversorgungsverpflichtung der Post ist er jedoch nicht nur im kon- kreten Einzelfall in Betracht zu ziehen, sondern auf sämtliche Postkunden in der ganzen Schweiz in vergleichbarer Situation hochzurechnen (vgl. Urteil des Bundesverwaltungsgerichts A- 5165/2016 vom 23. Januar 2017, Erw. 8). Dies ergibt einen beträchtlichen Mehraufwand für die Bedienung des bestehenden Briefkastens, der das Interesse des Gesuchstellers an der Beibehal- tung des Hausbriefkastens am aktuellen Standort überwiegt. Damit ist auch die Verhältnismässig- keit der geforderten Massnahme, nämlich der Versetzung des Hausbriefkastens, gegeben. Ge- stützt auf Art. 73 Abs. 1 VPG liegt es am Liegenschaftseigentümer, auf eigene Kosten einen ver- ordnungskonformen Briefkasten einzurichten.</w:t>
      </w:r>
    </w:p>
    <w:p>
      <w:r>
        <w:rPr>
          <w:b/>
        </w:rPr>
        <w:t>E. 16</w:t>
      </w:r>
    </w:p>
    <w:p>
      <w:r>
        <w:t>Zusammenfassend ist festzuhalten, dass der bestehende Briefkastenstandort nicht der Postver- ordnung entspricht. Die Post ist gestützt auf Art. 31 Abs. 2 Bst. c VPG nicht zur Hauszustellung</w:t>
      </w:r>
    </w:p>
    <w:p>
      <w:r>
        <w:t>5/5 PostCom-D-06B33401/615 Aktenzeichen: PostCom-213.2-Verfahren 2023/8</w:t>
      </w:r>
    </w:p>
    <w:p>
      <w:r>
        <w:t>verpflichtet. Es steht den Gesuchstellern frei, entweder den Briefkasten an die Grundstücksgrenze zu versetzen oder auf die Hauszustellung zu verzichten (Art. 31 Abs. 2 Bst. c VPG).</w:t>
      </w:r>
    </w:p>
    <w:p>
      <w:r>
        <w:rPr>
          <w:b/>
        </w:rPr>
        <w:t>E. 17</w:t>
      </w:r>
    </w:p>
    <w:p>
      <w:r>
        <w:t>In Bezug auf den Vorschlag der Gesuchsteller, dass sie einer Einschränkung der Häufigkeit der Hauszustellung zustimmen würden, ist Folgendes festzuhalten: Für eine solche Vereinbarung be- steht keine rechtliche Grundlage. Die Postverordnung erlaubt eine Ausnahme von den Standort- bestimmungen nur in den in Art. 75 VPG genannten Gründen.</w:t>
      </w:r>
    </w:p>
    <w:p>
      <w:r>
        <w:rPr>
          <w:b/>
        </w:rPr>
        <w:t>E. 18</w:t>
      </w:r>
    </w:p>
    <w:p>
      <w:r>
        <w:t>Damit ist das Gesuch abzuweisen. Bei diesem Verfahrensausgang sind die Verfahrenskosten in der Höhe von 200 Franken den Gesuchstellern aufzuerlegen (Art. 4 Abs. 1 Bst. g Gebührenreg- lement der Postkommission vom 26. August 2013 [SR 783.018]).</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