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VFG-14-2023 vom 24. August 2023</w:t>
      </w:r>
    </w:p>
    <w:p>
      <w:r>
        <w:t>PostCom, 2023-08-24, DE</w:t>
      </w:r>
    </w:p>
    <w:p>
      <w:r>
        <w:rPr>
          <w:b/>
        </w:rPr>
        <w:t xml:space="preserve">Quelle: </w:t>
      </w:r>
      <w:r>
        <w:t>https://mcp.opencaselaw.ch/entscheid/postcom_VFG-14-2023</w:t>
      </w:r>
    </w:p>
    <w:p>
      <w:r>
        <w:t>FR: POSTCOM VFG-14-2023 du 24 août 2023</w:t>
      </w:r>
    </w:p>
    <w:p>
      <w:r>
        <w:t>IT: POSTCOM VFG-14-2023 del 24 agosto 2023</w:t>
      </w:r>
    </w:p>
    <w:p>
      <w:pPr>
        <w:pStyle w:val="Heading2"/>
      </w:pPr>
      <w:r>
        <w:t>Erwägungen</w:t>
      </w:r>
    </w:p>
    <w:p>
      <w:r>
        <w:rPr>
          <w:b/>
        </w:rPr>
        <w:t>E. 11</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Verwaltungsverfahrensgesetz vom 20. Dezember 1968 anwendbar (Art. 1 Abs.1 und Abs. 2 Bst. d VwVG, SR 172.021).</w:t>
      </w:r>
    </w:p>
    <w:p>
      <w:r>
        <w:rPr>
          <w:b/>
        </w:rPr>
        <w:t>E. 12</w:t>
      </w:r>
    </w:p>
    <w:p>
      <w:r>
        <w:t>Die Gesuchsteller sind als Eigentümer der Liegenschaft durch die erfolgte Einstellung der Hauszustellung in ihren Rechten und Pflichten berührt. Sie sind somit im vorliegenden Verfahren Partei im Sinne von Art. 6 VwVG und können den Erlass einer anfechtbaren Verfügung betreffend den Briefkastenstandort beantragen.</w:t>
      </w:r>
    </w:p>
    <w:p>
      <w:r>
        <w:rPr>
          <w:b/>
        </w:rPr>
        <w:t>E. 13</w:t>
      </w:r>
    </w:p>
    <w:p>
      <w:r>
        <w:t>Die Eigentümer einer Liegenschaft müssen für die Zustellung von Postsendungen auf eigene Kosten einen frei zugänglichen Briefkasten oder eine frei zugängliche Briefkastenanlage einrichten (Art. 73 Abs. 1 VPG). Gestützt auf Art. 74 Abs. 1 VPG ist der Briefkasten an der Grundstücksgrenze beim allgemein benutzten Zugang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Die Standortvorschriften von Art. 73 ff. VPG sind das Ergebnis einer Interessenabwägung. Sie sollen einerseits dem Interesse der Kundschaft dienen, Postsendungen möglichst an der Haustüre in Empfang nehmen zu können, andererseits aber den Postdiensteanbieterinnen eine rationelle Zustellung ermöglichen (vgl. Erläuterungsbericht vom 29. August 2012 zur VPG zu Art. 74, S. 32; www.postcom.admin.ch &gt; Dokumentation &gt; Gesetzgebung). Bei den Vorgaben zu den Hausbriefkästen hat der Verordnungsgeber nicht nur den Zustellungsaufwand der Post, sondern auch denjenigen der anderen Postdiensteanbieterinnen im Blick gehabt. Demzufolge kann der Briefkastenstandort nicht von der Zustellroute und der Wahl des Zustellfahrzeugs abhängig gemacht werden. Die Post ist nicht zur Hauszustellung verpflichtet, wenn die Vorgaben für die Briefkästen und Briefkastenanlagen nach den Artikeln 73-75 nicht eingehalten sind (Art. 31 Abs. 2 Bst. c VPG).</w:t>
      </w:r>
    </w:p>
    <w:p>
      <w:r>
        <w:rPr>
          <w:b/>
        </w:rPr>
        <w:t>E. 14</w:t>
      </w:r>
    </w:p>
    <w:p>
      <w:r>
        <w:t>Im Folgenden ist somit der korrekte Standort nach Art. 74 Abs. 1 und 2 VPG zu ermitteln. Nach Praxis des Bundesverwaltungsgerichts ist der Briefkasten am Schnittpunkt der Grundstücksgrenze mit dem üblichen und grundsätzlich von allem verwendeten Weg zum Eingang des Hauses aufzustellen (Urteil des Bundesverwaltungsgerichts A-5165/2016 vom 23. Januar 2017, E. 5.1). Gemäss Praxis der PostCom ist bei Grundstücken, die keine Einfriedung gegen die Strasse aufweisen, der Vorplatz in seiner ganzen Breite als allgemein benutzter Zugang zu betrachten (vgl. beispielsweise die Verfügungen der PostCom Nr. 17/2022 vom 6. Oktober 2022, Ziff. 8; Nr. 24/2018 vom 6. Dezember 2018, Ziff. 12; Nr. 6/2017 vom 2. März 2017, Ziff. 18; abrufbar unter www.postcom.admin.ch -&gt; Dokumentation -&gt; Verfügungen). Der bestehende Briefkasten mit einer Distanz von ca. 21 Metern zur Grundstücksgrenze erfüllt diese Vorgaben klar nicht. Verordnungskonforme Standorte befinden sich beim Übergang des Vorplatzes zur Strasse.</w:t>
      </w:r>
    </w:p>
    <w:p>
      <w:r>
        <w:rPr>
          <w:b/>
        </w:rPr>
        <w:t>E. 15</w:t>
      </w:r>
    </w:p>
    <w:p>
      <w:r>
        <w:t>Besondere Gründe, wie Gebrechlichkeit oder schwere Krankheit, die gegebenenfalls zu einer anderen Einschätzung führen könnten, werden durch die Gesuchsteller nicht geltend gemacht.</w:t>
      </w:r>
    </w:p>
    <w:p>
      <w:r>
        <w:rPr>
          <w:b/>
        </w:rPr>
        <w:t>E. 16</w:t>
      </w:r>
    </w:p>
    <w:p>
      <w:r>
        <w:t>Der heutige Briefkasten mit einer Distanz von ca. 21 Metern von der Grundstücksgrenze verursacht der Post wie auch den übrigen Zustellern einen Mehraufwand, unabhängig davon, ob es einen Wendeplatz vor dem Carport gibt oder nicht. Zwar vermag der Mehraufwand für die Zustellung im Einzelfall bescheiden erscheinen. Wegen der Grundversorgungsverpflichtung der Post ist er jedoch nicht nur im konkreten Einzelfall in Betracht zu ziehen, sondern auf sämtliche Postkunden in der ganzen Schweiz in vergleichbarer Situation hochzurechnen (vgl. Urteil des Bundesverwaltungsgerichts A-5165/2016 vom 23. Januar 2017, Erw. 8). Dies ergibt einen beträchtlichen Mehraufwand für die Bedienung des bestehenden Briefkastens, der das Interesse der Gesuchsteller an der Beibehaltung der Situation überwiegt. Damit ist auch die Verhältnismässigkeit der geforderten Massnahme, nämlich der Versetzung des Hausbriefkastens, gegeben. Gestützt auf Art. 73 Abs. 1 VPG liegt es an der Liegenschaftseigentümerschaft, auf eigene Kosten einen verordnungskonformen Briefkasten einzurichten.</w:t>
      </w:r>
    </w:p>
    <w:p>
      <w:r>
        <w:rPr>
          <w:b/>
        </w:rPr>
        <w:t>E. 17</w:t>
      </w:r>
    </w:p>
    <w:p>
      <w:r>
        <w:t>Die Gesuchsteller beantragen sinngemäss die Durchführung eines Augenscheins. Gemäss Art. 12 VwVG stellt die Behörde den Sachverhalt von Amtes wegen fest und bedient sich nötigenfalls verschiedener Beweismittel, wie z.B. eines Augenscheins. Sie nimmt die ihr angebotenen Beweise ab, wenn diese zur Abklärung des Sachverhaltes tauglich erscheinen (Art. 33 Abs. 1 VwVG). Von einer Beweisabnahme darf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(Kölz/Häner/Bertschi, Verwaltungsverfahren und Verwaltungsrechtspflege des Bundes, 3. Auflage 2013, Rz. 153, mit Hinweisen). Aufgrund der eingereichten Dokumentation der Parteien mit Aufnahmen und Plänen lässt sich der Sachverhalt rechtsgenüglich ermitteln, so dass auf die Durchführung eines Augenscheins verzichtet werden kann.</w:t>
      </w:r>
    </w:p>
    <w:p>
      <w:r>
        <w:rPr>
          <w:b/>
        </w:rPr>
        <w:t>E. 18</w:t>
      </w:r>
    </w:p>
    <w:p>
      <w:r>
        <w:t>Zusammenfassend ist festzuhalten, dass der bestehende Briefkastenstandort nicht der Postverordnung entspricht. Die Post ist gestützt auf Art. 31 Abs. 2 Bst. c VPG nicht zur Hauszustellung verpflichtet. Es steht den Gesuchstellern frei, entweder den Briefkasten im Sinne der Erwägungen zu versetzen oder weiterhin auf die Erbringung der Hauszustellung zu verzichten. Die Post hat die Hauszustellung aufzunehmen, wenn die Gesuchsteller einen verordnungskonformen Briefkasten aufstellen.</w:t>
      </w:r>
    </w:p>
    <w:p>
      <w:r>
        <w:rPr>
          <w:b/>
        </w:rPr>
        <w:t>E. 19</w:t>
      </w:r>
    </w:p>
    <w:p>
      <w:r>
        <w:t>Gemäss Art. 77 Abs. 1 Bst. b VPG erhebt die PostCom für Verfügungen im Zusammenhang mit der Aufsicht über die Grundversorgung Gebühren. Art. 4 Abs. 1 Bst. g des Gebührenreglements der Postkommission vom 26. August 2013 (SR 783.018) sieht für Verfügungen im Zusammenhang mit Streitigkeiten betreffend den Standort von Hausbriefkästen eine Gebühr von Fr. 200.- vor. Da die Gesuchsteller mit ihren Anträgen unterliegen, werden ihnen die Verfahrenskosten in der Höhe von Fr. 200.- auferlegt.</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