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35518 vom 6. November 2023</w:t>
      </w:r>
    </w:p>
    <w:p>
      <w:r>
        <w:t>NW Gerichte, 2023-11-06, DE</w:t>
      </w:r>
    </w:p>
    <w:p>
      <w:r>
        <w:rPr>
          <w:b/>
        </w:rPr>
        <w:t xml:space="preserve">Quelle: </w:t>
      </w:r>
      <w:r>
        <w:t>https://mcp.opencaselaw.ch/entscheid/nw_gerichte_35518</w:t>
      </w:r>
    </w:p>
    <w:p>
      <w:r>
        <w:t>FR: NW_GERICHTE 35518 du 6 novembre 2023</w:t>
      </w:r>
    </w:p>
    <w:p>
      <w:r>
        <w:t>IT: NW_GERICHTE 35518 del 6 novembre 2023</w:t>
      </w:r>
    </w:p>
    <w:p>
      <w:pPr>
        <w:pStyle w:val="Heading2"/>
      </w:pPr>
      <w:r>
        <w:t>Regeste</w:t>
      </w:r>
    </w:p>
    <w:p>
      <w:r>
        <w:t>Steuern; Einkommensaufrechnung, Steuerausscheidung (ST 23 9)</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2018 sowie Direkte Bundessteuer 2018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 der Information, es werde kein zweiter Rechtsschriftenwechsel angeordnet. Eine allfällige Rep- lik wäre innert 20 Tagen einzureichen. Das Schreiben ist den Beschwerdeführern unstrittig am 5. September 2023 zugegangen (vgl. Replik vom 6. September 2023) und die Replikfrist</w:t>
      </w:r>
    </w:p>
    <w:p>
      <w:r>
        <w:rPr>
          <w:b/>
        </w:rPr>
        <w:t>E. 6</w:t>
      </w:r>
    </w:p>
    <w:p>
      <w:r>
        <w:t>│ 32</w:t>
      </w:r>
    </w:p>
    <w:p>
      <w:r>
        <w:rPr>
          <w:b/>
        </w:rPr>
        <w:t>E. 6.1</w:t>
      </w:r>
    </w:p>
    <w:p>
      <w:r>
        <w:t>Die Beschwerdeführer machen sinngemäss eine Doppelbesteuerung geltend bzw. wehren sie sich gegen die Steuerausscheidung von 10 % des selbständigen Erwerbseinkommens an den 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w:t>
      </w:r>
    </w:p>
    <w:p>
      <w:r>
        <w:rPr>
          <w:b/>
        </w:rPr>
        <w:t>E. 7</w:t>
      </w:r>
    </w:p>
    <w:p>
      <w:r>
        <w:t>│ 32</w:t>
      </w:r>
    </w:p>
    <w:p>
      <w:r>
        <w:t>endete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2018 die korrigierte Meldung an die Ausgleichskasse Zug erfolgen werde. Es muss daher nicht weiter auf diesen Punkt eingegangen werden.</w:t>
      </w:r>
    </w:p>
    <w:p>
      <w:r>
        <w:t>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t>3. Materiell strittig und zu prüfen ist einerseits die Frage, ob die Erträge aus Mantelhandel der C.__ in Höhe von Fr. 26'012.55 per 31. Dezember 2018 korrekt erfasst wurden und anderer- seits, ob die für die Steuerperiode 2018 strittigen Positionen Liegenschaftsunterhalt, Mietzin- sen, Versicherungsprämienabzug, Fahrzeugabschreibung und -kosten zutreffend aufgerech- net wurden. Ein weiterer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 sondern nur den Eigenmietwert besteuern müsste? So oder anders sei zu viel Einkommen besteuert worden.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164). Gemäss Steuerdeklaration 2018 war das Büro im EG des MFH (mit separatem Eingang und inkl. zwei Garagen) für Fr. 1'800.– an die F.__ und die 3.5-Zimmerwohnung im OG für Fr. 13'605.– an J.__ vermietet. Die Kirchgemeinde Z.__ bezahlt gemäss Deklaration keinen Miet- zins für die genutzten Räumlichkeiten (STA-act. 162-3): Miet- und Pachtzinsen: 3.5-Zimmerwohnung</w:t>
      </w:r>
    </w:p>
    <w:p>
      <w:r>
        <w:t>J.__</w:t>
      </w:r>
    </w:p>
    <w:p>
      <w:r>
        <w:t>Fr. 13'605.– (inkl. Autounterstand) Büro</w:t>
      </w:r>
    </w:p>
    <w:p>
      <w:r>
        <w:t>F.__ (01.07.-31.12.2018)</w:t>
      </w:r>
    </w:p>
    <w:p>
      <w:r>
        <w:t>Fr. 1'800.–</w:t>
      </w:r>
    </w:p>
    <w:p>
      <w:r>
        <w:t>(inkl. 2 Garagen gem. Schreiben vom 15.05.2023) Kirchgemeinde Z.__</w:t>
      </w:r>
    </w:p>
    <w:p>
      <w:r>
        <w:t>Fr. 0.– Total Miet- und Pachtzinsen</w:t>
      </w:r>
    </w:p>
    <w:p>
      <w:r>
        <w:t>Fr. 15'405.– Aufgrund der Deklaration der Beschwerdeführer ergeben sich weiter folgende Mietwerte für die Steuerperiode 2018 (STA-act. 163): Mietwert selbstbenutzte Wohnung:</w:t>
      </w:r>
    </w:p>
    <w:p>
      <w:r>
        <w:t>Fr. 18'130.– Mietwert selbstbenutzte Geschäftsräume: Büro</w:t>
      </w:r>
    </w:p>
    <w:p>
      <w:r>
        <w:t>01.01.-30.06.2018 an E.__</w:t>
      </w:r>
    </w:p>
    <w:p>
      <w:r>
        <w:t>Fr. 3'600.– Zimmer</w:t>
      </w:r>
    </w:p>
    <w:p>
      <w:r>
        <w:t>01.01.-30.06.2018 an E.__</w:t>
      </w:r>
    </w:p>
    <w:p>
      <w:r>
        <w:t>Fr. 900.– Total Mietwerte</w:t>
      </w:r>
    </w:p>
    <w:p>
      <w:r>
        <w:t>Fr. 4'500.–</w:t>
      </w:r>
    </w:p>
    <w:p>
      <w:r>
        <w:rPr>
          <w:b/>
        </w:rPr>
        <w:t>E. 7.3.2</w:t>
      </w:r>
    </w:p>
    <w:p>
      <w:r>
        <w:t>Auf die vom Steueramt erfolgte Nachfrage nach Mietverträgen bzw. Vereinbarungen mit den Mietern der Geschäftsräume (vgl. Aufforderung zur Belegauflage vom 29. Januar 2020) wur- den keine Belege zum Nachweis der berechneten Flächen und Beträge eingereicht, sondern mit Antwortschreiben vom 1. Februar 2020 mitgeteilt, dass alle Vereinbarungen (Mietverträge) jeweils mündlich getroffen worden seien. Der Beschwerdeführer sei Co-Geschäftsführer und Minderheitsbeteiligter der Firma F.__. Der bezahlte Mietzins sei korrekt anhand der genutzten Fläche berechnet worden. Die Kirchgemeinde Z.__ bezahle für die Tätigkeit der Ehefrau als Finanzverantwortliche keine Miete für das Büro im Erdgeschoss (STA-act. 601). Eine detail- lierte Aufstellung der Nutzung sowie der Mieteinnahmen der einzelnen Räume wurde nicht eingereicht. Mit Stellungnahme vom 15. Mai 2023 teilten die Beschwerdeführer dem Steuer- amt mit, dass die Garagen zum Gewerbe gehören und im Mietzins der F.__ enthalten seien (STA-act. 918).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 Garagen Fr. 300.–) bzw. Fr. 14'400.– pro Jahr (vgl. auch STA-act. 918). Mietbeginn ist der 1. Juli 2019 (BF-Bel. 314-317).</w:t>
      </w:r>
    </w:p>
    <w:p>
      <w:r>
        <w:rPr>
          <w:b/>
        </w:rPr>
        <w:t>E. 7.3.3</w:t>
      </w:r>
    </w:p>
    <w:p>
      <w:r>
        <w:t>Soweit die Beschwerdeführer sinngemäss einwenden, der Mietzins der Garage sei doppelt besteuert worden, einmal als Mietwert der Geschäftsräume und einmal als Miet- und Pachtzinsen, so ist mit dem Steueramt einig zu gehen, dass eine entsprechende Korrektur bereits im Einspracheentscheid erfolgt ist, so dass sich für die Steuerperiode 2018 ein um Fr. 1'535.– niedrigerer Betrag an Mieterträgen ergibt (vgl. STA-act. 652 und 946). 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162-3) – erst auf den 1. Juli 2019 festgelegt ist. Da die F.__ gemäss Darstellung der</w:t>
      </w:r>
    </w:p>
    <w:p>
      <w:r>
        <w:rPr>
          <w:b/>
        </w:rPr>
        <w:t>E. 7.3.4</w:t>
      </w:r>
    </w:p>
    <w:p>
      <w:r>
        <w:t>Die Mietwerte der selbstbenutzten Wohnung bzw. Geschäftsräume hat das Steueramt hinge- gen gemäss den im Zeitpunkt des Einspracheentscheids vorgelegenen Unterlagen wie folgt gegenüber der Selbstdeklaration und der Veranlagungsverfügung vom 18. Februar 2022 kor- rigiert: Mietwert selbstbenutzte Wohnung:</w:t>
      </w:r>
    </w:p>
    <w:p>
      <w:r>
        <w:t>4.5-Zimmerwohnung</w:t>
      </w:r>
    </w:p>
    <w:p>
      <w:r>
        <w:t>Fr. 22'800.– Wintergarten</w:t>
      </w:r>
    </w:p>
    <w:p>
      <w:r>
        <w:t>Fr. 1'000.– Autounterstand</w:t>
      </w:r>
    </w:p>
    <w:p>
      <w:r>
        <w:t>Fr. 800.– Schwimmbad</w:t>
      </w:r>
    </w:p>
    <w:p>
      <w:r>
        <w:t>Fr. 2'400.– Büro (Anteil für Nutzung der Tätigkeit bei der Ehefrau für die Kirchgemeinde)</w:t>
      </w:r>
    </w:p>
    <w:p>
      <w:r>
        <w:t>Fr. 1'800.– Total Eigenmietwert</w:t>
      </w:r>
    </w:p>
    <w:p>
      <w:r>
        <w:t>Fr. 28'800.– davon werden 70 % resp. 75 % bei der Veranlagung berücksichtigt</w:t>
      </w:r>
    </w:p>
    <w:p>
      <w:r>
        <w:t>Fr. 20'160.–</w:t>
      </w:r>
    </w:p>
    <w:p>
      <w:r>
        <w:t>Mietwert selbstbenutzte Geschäftsräume:</w:t>
      </w:r>
    </w:p>
    <w:p>
      <w:r>
        <w:t>Büro</w:t>
      </w:r>
    </w:p>
    <w:p>
      <w:r>
        <w:t>01.01.-30.06.2018 an E.__</w:t>
      </w:r>
    </w:p>
    <w:p>
      <w:r>
        <w:t>Fr. 3'600.– Garage</w:t>
      </w:r>
    </w:p>
    <w:p>
      <w:r>
        <w:t>01.01.-30.06.2018 an E.__</w:t>
      </w:r>
    </w:p>
    <w:p>
      <w:r>
        <w:t>Fr. 1'500.– Zimmer</w:t>
      </w:r>
    </w:p>
    <w:p>
      <w:r>
        <w:t>01.01.-30.06.2018 an E.__</w:t>
      </w:r>
    </w:p>
    <w:p>
      <w:r>
        <w:t>Fr. 900.– Total Mietwert der Geschäftsräume</w:t>
      </w:r>
    </w:p>
    <w:p>
      <w:r>
        <w:t>Fr. 6'000.–</w:t>
      </w:r>
    </w:p>
    <w:p>
      <w:r>
        <w:t>Total Miet- und Pachtzinsen sowie Mietwerte</w:t>
      </w:r>
    </w:p>
    <w:p>
      <w:r>
        <w:t>Fr. 41'565.–</w:t>
      </w:r>
    </w:p>
    <w:p>
      <w:r>
        <w:rPr>
          <w:b/>
        </w:rPr>
        <w:t>E. 7.3.5</w:t>
      </w:r>
    </w:p>
    <w:p>
      <w:r>
        <w:t>Das Steueramt erwog dazu, die Mieteinnahmen für die Räumlichkeit, welche der Ehefrau im Zusammenhang mit ihrer Tätigkeit bei der Kirchgemeinde Z.__ zur Verfügung stehe, seien bei der Veranlagung vergessen gegangen. Der Anteil sei so berechnet worden, dass für das Büro mindestens der Eigenmietwert gemäss Güterschatzung von Fr. 7'200.– (F.__ Fr. 1'800.– + Nutzung Kirchgemeinde Fr. 1'800.– + E.__ Fr. 3'600.–) zur Besteuerung komme. An dieser Kalkulation ist nichts auszusetzen.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41'565.– anstatt Fr. 43'100.– auf- gerechnet.</w:t>
      </w:r>
    </w:p>
    <w:p>
      <w:r>
        <w:t>8. Liegenschaftsunterhaltskosten</w:t>
      </w:r>
    </w:p>
    <w:p>
      <w:r>
        <w:rPr>
          <w:b/>
        </w:rPr>
        <w:t>E. 8</w:t>
      </w:r>
    </w:p>
    <w:p>
      <w:r>
        <w:t>│ 32</w:t>
      </w:r>
    </w:p>
    <w:p>
      <w:r>
        <w:t>4. Erträge aus Mantelhandel der C.__ 4.1 Die Beschwerdeführer machen sinngemäss geltend, die Aufrechnung des Gewinns 2018 der C.__ sei weder ausgewiesen noch dem Gesetz entsprechend. Die Dividende fliesse erst im Zeitpunkt des Generalversammlungsbeschlusses zu. Dies gelte zweifelsfrei auch für Dividen- den aus dem Mantelhandel. Regelmässig würden geldwerte Leistungen und verdeckte Ge- 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Neugründung im Jahr 2018 als Dividende im Jahr 2019 besteu- ert zu werden. Zudem liege betreffend Besteuerungszeitpunkt ein schriftliches Ruling mit der Eidgenössischen Steuerverwaltung, Hauptabteilung Verrechnungssteuer, vor.</w:t>
      </w:r>
    </w:p>
    <w:p>
      <w:r>
        <w:t>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 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 Übertra- gung des Aktienmantels von der «neuen» Gesellschaft erwirtschaftet werden, sind hingegen</w:t>
      </w:r>
    </w:p>
    <w:p>
      <w:r>
        <w:rPr>
          <w:b/>
        </w:rPr>
        <w:t>E. 8.1</w:t>
      </w:r>
    </w:p>
    <w:p>
      <w:r>
        <w:t>Die Beschwerdeführer beantragen unter dem Titel Liegenschaftsunterhaltskosten den Abzug von Anwaltskosten in Höhe von Fr. 11'040.– für eine Auseinandersetzung mit der Gemeinde Z.__ betreffend die Verschiebung eines Containerplatzes. Ferner wollen die Beschwerdefüh- rer für die Steuerperiode 2018 Abonnementskosten für Rasenmäher-Service, Wärmepumpen- Abonnement und Solaranlagen-Abonnement in Höhe von total Fr. 1'484.– als Liegenschafts- unterhaltskosten in Abzug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 Zu- sammenhang mit einer Mietangelegenheit stehen (vgl. Steuerpraxis Nidwalden, Richtlinie Nr. 34 Liegenschaftskosten, aktualisiert am 12.12.2022, Anhang Ziff. 9 [STA-act. 952, 966]). Da es sich vorliegend bei dem den Anwaltskosten zugrundeliegenden Sachverhalt um eine Streitigkeit zwischen der Gemeinde Z.__ und den Beschwerdeführern als Liegenschaftseigen- tümer gehandelt hat, sind die ausgewiesenen Kosten praxisgemäss nicht abzugsfähig. Die Beschwerdeführer haben es aber auch unterlassen, mittels beweiskräftiger Belege darzule- gen, inwiefern die Verschiebung des Containerplatzes die Erhaltung des Nutzwertes der Lie- genschaft in Z.__ tatsächlich verändern kann. Es ist daher mit dem Steueramt einig zu gehen, dass auch unter diesem Aspekt kein Abzug der Anwaltskosten als Liegenschaftsunterhalt möglich ist.</w:t>
      </w:r>
    </w:p>
    <w:p>
      <w:r>
        <w:rPr>
          <w:b/>
        </w:rPr>
        <w:t>E. 8.4</w:t>
      </w:r>
    </w:p>
    <w:p>
      <w:r>
        <w:t>Die Beschwerdeführer beantragen weiter den Abzug folgender vom Steueramt nicht zum Ab- zug zugelassenen Liegenschaftsunterhaltskosten:</w:t>
      </w:r>
    </w:p>
    <w:p>
      <w:r>
        <w:t>Rasenmäherservice</w:t>
      </w:r>
    </w:p>
    <w:p>
      <w:r>
        <w:t>Fr. 736.– Wärmepumpenabonnement</w:t>
      </w:r>
    </w:p>
    <w:p>
      <w:r>
        <w:t>Fr. 391.– Solaranlagenabonnement</w:t>
      </w:r>
    </w:p>
    <w:p>
      <w:r>
        <w:t>Fr. 357.–</w:t>
      </w:r>
    </w:p>
    <w:p>
      <w:r>
        <w:t>Fr. 1'484.–</w:t>
      </w:r>
    </w:p>
    <w:p>
      <w:r>
        <w:t>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w:t>
      </w:r>
    </w:p>
    <w:p>
      <w:r>
        <w:rPr>
          <w:b/>
        </w:rPr>
        <w:t>E. 9</w:t>
      </w:r>
    </w:p>
    <w:p>
      <w:r>
        <w:t>│ 32</w:t>
      </w:r>
    </w:p>
    <w:p>
      <w:r>
        <w:t>aufgrund der Steuerumgehung nicht mehr mit Verlusten der «früheren» Gesellschaft verre- 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w:t>
      </w:r>
    </w:p>
    <w:p>
      <w:r>
        <w:t>4.3 4.3.1 Die Beschwerdeführer haben mit Aktienkaufvertrag vom 8. Mai 2018 rückwirkend per 1. Ja- nuar 2018 die Mehrheit der Aktien der C.__ zum Preis von Fr. 1.– erworben und laut Ziffer 6 des Vertrags wurden zugleich Forderungen Dritter in Höhe von Fr. 108'211.– (Verluste) über- nommen (STA-act. 782). Die Voraussetzungen des Mantelhandels sind unstreitig erfüllt (STA- act. 4, 779; vgl. auch BF-Bel. 70, 81 und 84). Weiter ist den Akten zu entnehmen, dass im Fall der vorliegend mit Verlust liquidierten C.__ im Anschluss an den Mantelhandel das Grundkapital nicht von den neuen Aktionären aufge- bracht, sondern von der Gesellschaft selbst aus den jährlichen Reingewinnen</w:t>
      </w:r>
    </w:p>
    <w:p>
      <w:r>
        <w:rPr>
          <w:b/>
        </w:rPr>
        <w:t>E. 9.1</w:t>
      </w:r>
    </w:p>
    <w:p>
      <w:r>
        <w:t>Die Beschwerdeführer beantragen für die Steuerperiode 2018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880-906). Gemäss E-Mail der Versicherung vom 19. September 2018 handelt es sich dabei um Erwerbsunfähigkeitsrenten (BF-Bel. 904).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32</w:t>
      </w:r>
    </w:p>
    <w:p>
      <w:r>
        <w:t>wiederhergestellt wurde, so dass im obigen Sinne eine geldwerte Leistung an die Aktionäre vorliegt, die als Vermögensertrag zu besteuern ist (STA-act. 742-743; vgl. auch BF-Bel. 49, 65, 71).</w:t>
      </w:r>
    </w:p>
    <w:p>
      <w:r>
        <w:t>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782 Ziff. 2). Die Gesellschaft ist also so zu besteuern, wie wenn sie per Ende 2017 liquidiert und per 1. Januar 2018 neu gegründet worden wäre. Mit Buchungsabschluss der C.__ vom 31. Dezember 2018 wurde für das Geschäftsjahr 2018 der Gewinn buchhalterisch festgestellt. Gleichzeitig mit der Feststellung des Gewinns erfolgte zum 31. Dezember 2018 die Verbuchung mit dem entsprechenden Vorjahresverlust der Ge- sellschaft mit der Folge, dass die geldwerte Leistung aus dem Mantelhandel in der Höhe von Fr. 26'012.55 (vgl. Deklarationsformular 102, STA-act. 731) zweifellos zu diesem Zeitpunkt und mithin in der Steuerperiode 2018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32</w:t>
      </w:r>
    </w:p>
    <w:p>
      <w:r>
        <w:t>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628). Damit liegt kein Ruling vor und schon gar keines hinsichtlich des von den Beschwerdeführern behaupteten Besteuerungszeit- punkts in der Folgesteuerperiode 2019.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2019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742, 743). Ebenso wenig können die Beschwerdeführer aus dem Deklarationsfor- mular 102 («Entwurf») etwas zu ihren Gunsten ableiten (BF-Bel. 102). Mit dem Steueramt ist überdies einig zu gehen, dass dem per 4. Mai 2021 von der ESTV übersandten Formular an den Sitzkanton der C.__ und an den Wohnsitzkanton der begünstig- ten Person (NW) zu entnehmen ist, dass die Steuerforderung infolge Mantelhandel per 31. Dezember 2018 entstanden ist (STA-act. 619). Dass dieser Beleg für die vorliegende Beurtei- lung nicht beigezogen werden kann,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und geht ausgangsgemäss unter solidarischer Haftbarkeit zu Lasten der Beschwerdeführer.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32</w:t>
      </w:r>
    </w:p>
    <w:p>
      <w:r>
        <w:t>«verspätet»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w:t>
      </w:r>
    </w:p>
    <w:p>
      <w:r>
        <w:t>4.4 Die Besteuerung der geldwerten Leistung aus Mantelhandel von Fr. 26'012.55 für die Steuer- periode 2018 ist mithin zu Recht per 31. Dezember 2018 erfolgt. Wie die Verrechnungssteuer in den Folgejahren 2019, 2020, 2021 2022 und 2023 zu erheben ist (vgl. Nachtrag zur Replik vom 9. September 2023, Antrags-Ziff. 3), ist schliesslich nicht Gegenstand dieses Verfahrens.</w:t>
      </w:r>
    </w:p>
    <w:p>
      <w:r>
        <w:t>5. Fahrzeugabschreibung und -kosten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und E.__) und das Steueramt lasse kein Geschäftsauto zu. Vor dem Kauf des Fiat Ducato seien zwei Fahrzeuge akzeptiert und in der Buchhaltung aufgeführt worden. Diese beiden Fahrzeuge seien mittels Kaufvertrag am 19. April 2018 und 30. September 2018 verkauft worden. Der Liquidationsgewinn sei zu 100 % besteuert worden. Die Anschaffung eines neuen Fahrzeuges mit Gesamtkosten von Fr. 86'671.30 sei nun jedoch vollumfänglich zu 100 % aufgerechnet worden und es befinde sich kein Geschäftsfahrzeug mit Aufwendungen mehr in der Buchhaltung 2018, 2019 und 2020. Mindestens teilweise hätten anteilsmässig Abschreibungen für den geschäftlich</w:t>
      </w:r>
    </w:p>
    <w:p>
      <w:r>
        <w:rPr>
          <w:b/>
        </w:rPr>
        <w:t>E. 13</w:t>
      </w:r>
    </w:p>
    <w:p>
      <w:r>
        <w:t>│ 32</w:t>
      </w:r>
    </w:p>
    <w:p>
      <w:r>
        <w:t>betroffenen Teil gewährt werden müssen. Es handle sich hier auch nicht um ein Luxusfahr- zeug. Zudem müsse, wenn die Abschreibung nicht gewährt werde, im Gegenzug die fiktive Miete akzeptiert werden. Die Autobetriebskosten seien schliesslich mit dem verbuchten Pri- vatanteil von über Fr. 9'000.– gebührend berücksichtigt worden. Die Abschreibung des Fahr- 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herbeigezogen.</w:t>
      </w:r>
    </w:p>
    <w:p>
      <w:r>
        <w:t>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32</w:t>
      </w:r>
    </w:p>
    <w:p>
      <w:r>
        <w:t>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32</w:t>
      </w:r>
    </w:p>
    <w:p>
      <w:r>
        <w:t>5.3 Da die Beschwerdeführer vorliegend auf dem Fahrzeug «Fiat Bürstner Ducato» Abschreibun- gen im Sinne von Art. 30 Abs. 2 Ziff. 1 StG und Art. 27 Abs. 2 lit. a DBG und mithin steuermin- dernde Tatsachen geltend machen, tragen sie die Beweislast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 v.a. in der West- schweiz zum Einsatz gekommen ist, um Hotelkosten einzusparen und Bausitzungen darin ab- halten zu können. Das Fahrzeug wurde vom Beschwerdeführer im Jahr 2018 zum Preis von Fr. 86'671.30 gekauft und war per Ende 2018 unstrittig auf ihn selbst eingetragen. Das Fahr- zeug wurde buchmässig als Geschäftsvermögen geführt und der Beschwerdeführer nahm im Anschaffungsjahr 2018 eine Sofortabschreibung auf 100 % des Kaufpreises vor (STA-act. 112 und 128). Das Steueramt hat das Fahrzeug mit Veranlagung 2018 vom 18. Februar 2022 dem- gegenüber vollumfänglich dem Privatvermögen zugeordnet und den gesamten Abschrei- bungsbetrag im Einkommen aufgerechnet. Eine betriebliche Nutzung wurde nicht anerkannt und der entstandene Fahrzeugaufwand dementsprechend den privaten Lebenshaltungskos- ten zugerechnet. Damit das Wohnmobil vorliegend dem Geschäftsvermögen zugeordnet werden kann, müssen die Beschwerdeführer mittels Unterlagen belegen, dass das Fahrzeug zu mehr als 50 % für Geschäftsfahrten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2018 wurde nachweislich auch keine Steuerdeklaration im Kanton Luzern vorgenommen, so dass sich in diesem Zeitraum die selbständige Erwerbstätigkeit der Beschwerdeführer auf die Ein- zelfirma E.__ beschränkte und daher bereits das Erwerbsmotiv nicht überzeugt (vgl. dazu auch STA-act. 866-879).</w:t>
      </w:r>
    </w:p>
    <w:p>
      <w:r>
        <w:rPr>
          <w:b/>
        </w:rPr>
        <w:t>E. 16</w:t>
      </w:r>
    </w:p>
    <w:p>
      <w:r>
        <w:t>│ 32</w:t>
      </w:r>
    </w:p>
    <w:p>
      <w:r>
        <w:t>Für ein Treuhandunternehmen ist das Wohnmobil «Fiat Bürstner Ducato» als Geschäftsfahr- zeug sodann klar ungeeignet und wirtschaftlich nicht geboten. Es ist denn auch nicht nachge- wiesen oder objektiv erkennbar, dass das Wohnmobil in der Steuerperiode 2018 für Ge- schäftszwecke der Einzelfirma E.__ verwendet worden wäre; entsprechende Belege fehlen. Dies hat zur Folge, dass das streitige Fahrzeug mangels Nachweises einer geschäftsmässi- 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und der Kauf eine «Vorbereitungs- handlung» für die spätere Geschäftstätigkeit gewesen sei, am Ergebnis etwas zu ändern. Wird das Fahrzeug erst in den Folgejahren betrieblich genutzt, so kann es, sofern die Vorausset- 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w:t>
      </w:r>
    </w:p>
    <w:p>
      <w:r>
        <w:t>5.4 Ungeachtet dieser Beurteilung des Wohnmobils «Fiat Bürstner Ducato» hat das Steueramt korrekt berücksichtigt, dass im Rahmen einer selbständigen Erwerbstätigkeit geschäftliche Fahrkosten entstehen. Gemäss Entwurf zum Einspracheentscheid hat das Steueramt pau- schale Fahrkosten in Höhe von Fr. 12'000.– vorgeschlagen. Damit waren die Beschwerdefüh- rer nicht einverstanden (STA-act. 917/921) und machen stattdessen für die Steuerperiode 2018 gesamte Fahrkosten in Höhe von Fr. 20'803.80 geltend. Nach den Grundlagen der</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920).</w:t>
      </w:r>
    </w:p>
    <w:p>
      <w:r>
        <w:t>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w:t>
      </w:r>
    </w:p>
    <w:p>
      <w:r>
        <w:t>6. Doppelbesteuerung bzw. interkantonale Steuerausscheidung</w:t>
      </w:r>
    </w:p>
    <w:p>
      <w:r>
        <w:rPr>
          <w:b/>
        </w:rPr>
        <w:t>E. 18</w:t>
      </w:r>
    </w:p>
    <w:p>
      <w:r>
        <w:t>│ 32</w:t>
      </w:r>
    </w:p>
    <w:p>
      <w:r>
        <w:t>Bundesverfassung (BV; SR 101). Im Zusammenhang mit der Steuerperiode 2016 sei die Steu- erausscheidung besprochen worden (BF-Bel. 199). Jetzt sei eindeutig belegt, dass Mietzinsen für das Büro in Z.__ eingenommen und versteuert werden und trotzdem wolle man die Steu- erausscheidung mit 90 % dem Kanton Nidwalden belassen. Es sei Tatsache, dass man ein- fach möglichst viel für Nidwalden besteuern und die Tatsachen der Fremdvermietung aktiv ignorieren wolle. Es könne nicht sein, dass bei nicht benutzten bzw. durch andere Firmen be- nutzte Räumlichkeiten in Nidwalden die Steuerausscheidung identisch bleibe. Mindestens der alte Status Quo von 50 % für den Kanton Zug und 50 % für den Kanton Nidwalden müsse gewährt werden.</w:t>
      </w:r>
    </w:p>
    <w:p>
      <w:r>
        <w:rPr>
          <w:b/>
        </w:rPr>
        <w:t>E. 19</w:t>
      </w:r>
    </w:p>
    <w:p>
      <w:r>
        <w:t>│ 32</w:t>
      </w:r>
    </w:p>
    <w:p>
      <w:r>
        <w:t>nicht der Fall. Weder der Kanton Zug noch der Kanton Luzern beanspruchen in der Steuerpe- riode 2018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2018 aus steuer- rechtlicher Sicht einer selbständigen Erwerbstätigkeit (E.__) nachging. Die von den Beschwerdeführern gegen die Steuerausscheidung von 10 % des selbständigen Erwerbseinkommens an den Kanton Zug vorgebrachten Argumente sind unbegründet. Die Steuerausscheidung wurde unstrittig bereits in der Steuerperiode 2016 thematisiert und ent- 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eingereicht, obwohl sie vom Steueramt mehrfach aufgefordert wurden, diesbezüglich Nach- weise zu erbringen (vgl. STA-act. 186 [Dossier ST 23 9], STA-act. 317-326, 396-404). Die Domiziladresse der Einzelfirma E.__ wurde per 24. August 2018 im Handelsregister ge- löscht und ein neues Domizil in X.__ wurde begründet. Wie bereits das Steueramt im ange- fochtenen Einspracheentscheid festgehalten hat, reicht eine Löschung bzw. Änderung des Domizils im Handelsregister für sich alleine nicht aus, um eine andere Ausscheidungsquote festzustellen, sondern ist lediglich ein Indiz für das Vorliegen eines Geschäftsorts. Dies gilt umso mehr, da die Beschwerdeführer für die Steuerperiode 2018 für die Einzelfirma E.__ ei- nen Mietwert von Geschäftsräumen in Höhe von insgesamt Fr. 4'500.– deklarieren (STA-act. 122, 163; vgl. auch nachstehende E. 7). Völlig unbehelflich sind schliesslich die Vorbringen der Beschwerdeführer betreffend Geschäftssitz im Kanton Luzern und Instanzenzug (vgl. v.a. auch Replik vom 6. September 2023, Ziff. 1). Ebenfalls nicht entscheidend für die hier zu be- urteilende Steuerperiode 2018 sind die als Begründung herangezogenen Veranlagungsverfü- gungen bzw. Steuerausscheidungen der Steuerperioden 2002, 2009, 2011 und 2015 (BF-Bel. 190-193). Nachdem auch im vorliegenden Beschwerdeverfahren keine weiteren Beweisunterlagen ein- gereicht wurden, ist die Steuerausscheidung von 10 % für den Kanton Zug nicht zu beanstan- den und es liegt keine Verletzung von Art. 127 Abs. 3 BV vor.</w:t>
      </w:r>
    </w:p>
    <w:p>
      <w:r>
        <w:rPr>
          <w:b/>
        </w:rPr>
        <w:t>E. 20</w:t>
      </w:r>
    </w:p>
    <w:p>
      <w:r>
        <w:t>│ 32</w:t>
      </w:r>
    </w:p>
    <w:p>
      <w:r>
        <w:t>7. Mietzinsen</w:t>
      </w:r>
    </w:p>
    <w:p>
      <w:r>
        <w:rPr>
          <w:b/>
        </w:rPr>
        <w:t>E. 21</w:t>
      </w:r>
    </w:p>
    <w:p>
      <w:r>
        <w:t>│ 32</w:t>
      </w:r>
    </w:p>
    <w:p>
      <w:r>
        <w:rPr>
          <w:b/>
        </w:rPr>
        <w:t>E. 22</w:t>
      </w:r>
    </w:p>
    <w:p>
      <w:r>
        <w:t>│ 32</w:t>
      </w:r>
    </w:p>
    <w:p>
      <w:r>
        <w:rPr>
          <w:b/>
        </w:rPr>
        <w:t>E. 23</w:t>
      </w:r>
    </w:p>
    <w:p>
      <w:r>
        <w:t>│ 32</w:t>
      </w:r>
    </w:p>
    <w:p>
      <w:r>
        <w:t>Beschwerdeführer und Steuerdeklaration 2018 jedoch bereits per 1. Juli 2018 bei den Be- schwerdeführern eingemietet war, hat das Steueramt zu Recht an der Deklaration der Be- schwerdeführer für die Steuerperiode 2018 und mithin an Mieterträgen von Fr. 1'800.– festge- halten. Auf die weiteren Ausführungen der Beschwerdeführer zum Mietverhältnis mit der F.__ muss nicht näher eingegangen werden. Das Steueramt hat die Angaben der Beschwerdeführer zu den Nettomieterträgen aus Liegen- schaften (Total Miet- und Pachtzinsen Fr. 15'405.–) im angefochtenen Einspracheentscheid unter Berücksichtigung der zum Gewerbe gehörenden und im Mietzins der F.__ enthaltenen Garagen zu Recht unverändert übernommen.</w:t>
      </w:r>
    </w:p>
    <w:p>
      <w:r>
        <w:rPr>
          <w:b/>
        </w:rPr>
        <w:t>E. 24</w:t>
      </w:r>
    </w:p>
    <w:p>
      <w:r>
        <w:t>│ 32</w:t>
      </w:r>
    </w:p>
    <w:p>
      <w:r>
        <w:rPr>
          <w:b/>
        </w:rPr>
        <w:t>E. 25</w:t>
      </w:r>
    </w:p>
    <w:p>
      <w:r>
        <w:t>│ 32</w:t>
      </w:r>
    </w:p>
    <w:p>
      <w:r>
        <w:rPr>
          <w:b/>
        </w:rPr>
        <w:t>E. 26</w:t>
      </w:r>
    </w:p>
    <w:p>
      <w:r>
        <w:t>│ 32</w:t>
      </w:r>
    </w:p>
    <w:p>
      <w:r>
        <w:t>selbstgenutzten Räume im Umfang von Fr. 607.10 zum Abzug zugelassen. Dass die vo- rinstanzlichen Berechnungen nicht korrekt wären, vermögen die Beschwerdeführer nicht sub- stantiiert vorzutragen. Die geltend gemachten Kosten wurden mithin bereits im vorinstanzli- chen Verfahren teilweise einkommensmindernd berücksichtigt (vgl. STA-act. 936); darüber hinaus gehende Kosten sind nicht abzugsfähig.</w:t>
      </w:r>
    </w:p>
    <w:p>
      <w:r>
        <w:t>9. Versicherungsprämien</w:t>
      </w:r>
    </w:p>
    <w:p>
      <w:r>
        <w:rPr>
          <w:b/>
        </w:rPr>
        <w:t>E. 27</w:t>
      </w:r>
    </w:p>
    <w:p>
      <w:r>
        <w:t>│ 32</w:t>
      </w:r>
    </w:p>
    <w:p>
      <w:r>
        <w:t>Selbständigerwerbenden; Luzerner Steuerbuch, Band 2, Weisungen StG – Unternehmens- steuerrecht, § 34 Nr. 1; MERKBLATT KANTON AARGAU, Besteuerung freie Vorsorge Säule 3b, S. 12). 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32</w:t>
      </w:r>
    </w:p>
    <w:p>
      <w:r>
        <w:rPr>
          <w:b/>
        </w:rPr>
        <w:t>E. 29</w:t>
      </w:r>
    </w:p>
    <w:p>
      <w:r>
        <w:t>│ 32</w:t>
      </w:r>
    </w:p>
    <w:p>
      <w:r>
        <w:t>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32</w:t>
      </w:r>
    </w:p>
    <w:p>
      <w:r>
        <w:t>Der zusätzlich beantragte Abzug von Fr. 3'566.– für Versicherungsprämien der Säule 3b kann mithin nicht als geschäftsmässig begründeter Aufwand einkommensmindernd in Abzug ge- bracht werden.</w:t>
      </w:r>
    </w:p>
    <w:p>
      <w:r>
        <w:t>10. Nach dem Gesagten ist die Beschwerde somit vollumfänglich abzuweisen.</w:t>
      </w:r>
    </w:p>
    <w:p>
      <w:r>
        <w:t>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32</w:t>
      </w:r>
    </w:p>
    <w:p>
      <w:r>
        <w:t>Demnach erkennt das Verwaltungsgericht: 1. Die Beschwerde wird vollumfänglich abgewiesen.</w:t>
      </w:r>
    </w:p>
    <w:p>
      <w:r>
        <w:t>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w:t>
      </w:r>
    </w:p>
    <w:p>
      <w:r>
        <w:t>3. Es wird keine Parteientschädigung zugesprochen.</w:t>
      </w:r>
    </w:p>
    <w:p>
      <w:r>
        <w:t>4. [Zustellung].</w:t>
      </w:r>
    </w:p>
    <w:p>
      <w:r>
        <w:t>Stans, 6. November 2023 VERWALTUNGSGERICHT NIDWALDEN Steuerabteilung Die Vizepräsidentin</w:t>
      </w:r>
    </w:p>
    <w:p>
      <w:r>
        <w:t>lic. iur. Barbara Brodmann Die Gerichtsschreiberin</w:t>
      </w:r>
    </w:p>
    <w:p>
      <w:r>
        <w:t>lic. iur. HSG Helene Reichmuth Versand: ____________________</w:t>
      </w:r>
    </w:p>
    <w:p>
      <w:r>
        <w:rPr>
          <w:b/>
        </w:rPr>
        <w:t>E. 32</w:t>
      </w:r>
    </w:p>
    <w:p>
      <w:r>
        <w:t>│ 32</w:t>
      </w:r>
    </w:p>
    <w:p>
      <w:r>
        <w:t>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