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32477 vom 6. März 2023</w:t>
      </w:r>
    </w:p>
    <w:p>
      <w:r>
        <w:t>NW Gerichte, 2023-03-06, DE</w:t>
      </w:r>
    </w:p>
    <w:p>
      <w:r>
        <w:rPr>
          <w:b/>
        </w:rPr>
        <w:t xml:space="preserve">Quelle: </w:t>
      </w:r>
      <w:r>
        <w:t>https://mcp.opencaselaw.ch/entscheid/nw_gerichte_32477</w:t>
      </w:r>
    </w:p>
    <w:p>
      <w:r>
        <w:t>FR: NW_GERICHTE 32477 du 6 mars 2023</w:t>
      </w:r>
    </w:p>
    <w:p>
      <w:r>
        <w:t>IT: NW_GERICHTE 32477 del 6 marzo 2023</w:t>
      </w:r>
    </w:p>
    <w:p>
      <w:pPr>
        <w:pStyle w:val="Heading2"/>
      </w:pPr>
      <w:r>
        <w:t>Regeste</w:t>
      </w:r>
    </w:p>
    <w:p>
      <w:r>
        <w:t>Invalidenversicherung (SV 22 32)</w:t>
      </w:r>
    </w:p>
    <w:p>
      <w:pPr>
        <w:pStyle w:val="Heading2"/>
      </w:pPr>
      <w:r>
        <w:t>Erwägungen</w:t>
      </w:r>
    </w:p>
    <w:p>
      <w:r>
        <w:rPr>
          <w:b/>
        </w:rPr>
        <w:t>E. 1.1</w:t>
      </w:r>
    </w:p>
    <w:p>
      <w:r>
        <w:t>Gemäss Art. 69 Abs. 1 lit. a IVG (SR 831.20) können Verfügungen der kantonalen IV-Stellen direkt vor dem Versicherungsgericht am Ort der IV-Stelle angefochten werden. Die Be- schwerde richtet sich gegen die Verfügung der IV-Stelle Nidwalden vom 30. September 2022, womit die örtliche Zuständigkeit des Verwaltungsgerichts Nidwalden gegeben ist. Die sachli- che Zuständigkeit obliegt der Sozialversicherungsabteilung (Art. 57 ATSG [SR 830.1] i.V.m. Art. 39 GerG [NG 261.1]), welche in Dreierbesetzung entscheidet (Art. 33 Ziff. 2 GerG). Der Beschwerdeführer hat als Adressat der angefochtenen Verfügung ein schutzwürdiges Interesse an deren Aufhebung, weshalb er zur Beschwerde befugt ist (Art. 59 ATSG). Nach- dem auch Frist und Form (Art. 60 und Art. 61 lit. b ATSG) eingehalten sind, ist auf die Be- 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w:t>
      </w:r>
    </w:p>
    <w:p>
      <w:r>
        <w:t>4│19 stufenloses System ersetzt. In zeitlicher Hinsicht sind grundsätzlich diejenigen Rechtssätze massgeblich, die bei der Erfüllung des rechtlich zu ordnenden oder zu Rechtsfolgen führenden Tatbestands Geltung haben (BGE 148 V 174 E. 4.1; 144 V 210 E. 4.3.1). Nicht massgeblich ist der Zeitpunkt der Rentenzusprache. Ein allfälliger Rentenanspruch des Beschwerdeführers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t>5│19</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Urteil des Bundesgerichts 9C_847/2014 vom 25. März 2015 E. 2.2.1 je mit Hinweisen). Den Berichten und Gutachten versicherungsinterner Fachpersonen kommt hingegen nicht</w:t>
      </w:r>
    </w:p>
    <w:p>
      <w:r>
        <w:t>6│19 derselbe Beweiswert. Sie sind aber insoweit zu berücksichtigen, als nicht auch nur geringe Zweifel an der Zuverlässigkeit und Schlüssigkeit der versicherungsinternen ärztlichen Fest- 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 Einschät- zungen letztlich abgestellt werden kann, ist eine im Verwaltungs- und allenfalls Gerichtsver- fahren zu klärende Frage der Beweiswürdigung (BGE 132 V 93 E. 7.2.2).</w:t>
      </w:r>
    </w:p>
    <w:p>
      <w:r>
        <w:rPr>
          <w:b/>
        </w:rPr>
        <w:t>E. 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rPr>
          <w:b/>
        </w:rPr>
        <w:t>E. 2.5</w:t>
      </w:r>
    </w:p>
    <w:p>
      <w:r>
        <w:t>Grenze der richterlichen Überprüfungsbefugnis bilden die im Zeitpunkt des Abschlusses des Verwaltungsverfahrens (vorliegend die Verfügung vom 30. September 2022) massgeblichen tatsächlichen Verhältnisse (BGE 132 V 215 E. 3.1.1). Später eingetretene Tatsachen sind soweit zu berücksichtigen, als sie mit dem Streitgegenstand in engem Sachzusammenhang stehen und geeignet sind, die Beurteilung im Zeitpunkt des Erlasses des angefochtenen Ent- scheids zu beeinflussen (Urteil des Bundesgerichts 9C_24/2008 vom 27. Mai 2008 E. 2.3.1 mit Hinweisen). Soweit sich während des Verfahrens ein- beziehungsweise nachgereichte Arztberichte zum Gesundheitszustand im Zeitpunkt des Verfügungserlasses äussern oder be- reits bei den Akten liegende Berichte erläutern und ergänzen, sind auch diese Berichte in die Beurteilung einzubeziehen (BGE 130 V 138 E. 2.1 m.w.H.).</w:t>
      </w:r>
    </w:p>
    <w:p>
      <w:r>
        <w:t>7│19</w:t>
      </w:r>
    </w:p>
    <w:p>
      <w:r>
        <w:rPr>
          <w:b/>
        </w:rPr>
        <w:t>E. 3.1</w:t>
      </w:r>
    </w:p>
    <w:p>
      <w:r>
        <w:t>Die IV-Stelle erwog in der angefochtenen Verfügung, laut den Abklärungen sei der Beschwer- deführer krankheitsbedingt seit 1. Oktober 2020 in seiner Arbeitsfähigkeit eingeschränkt. Indes sei es ihm möglich und zumutbar, in angepasster, kognitiv wenig anspruchsvoller beruflicher Tätigkeit mit hohem Routineanteil und geringem Zeit-/Produktionsdruck, ohne hohe Anforde- rungen an das Multi-Tasking und zudem in einem ruhigen, störarmen Umfeld eine 50%-ige Arbeitsfähigkeit zu verwerten. Dabei könne er gemäss Lohnstrukturerhebungen des Bundes (LSE) ein jährliches Einkommen von Fr. 34'708.– erzielen. Ohne gesundheitliche Einschrän- kungen würde er heute in der zuletzt ausgeübten beruflichen Tätigkeit als Firmeninhaber und Geschäftsführer der B.__ GmbH, __, ein jährliches Einkommen von Fr. 90'000.– verdienen. Eine Gegenüberstellung ergebe demnach eine Erwerbseinbusse von Fr. 55'292.–, mithin ei- nen Invaliditätsgrad von 61%. Nach Ablauf der einjährigen Wartezeit, demnach ab 1. Oktober 2021, habe er Anspruch auf eine Dreiviertelsrente.</w:t>
      </w:r>
    </w:p>
    <w:p>
      <w:r>
        <w:rPr>
          <w:b/>
        </w:rPr>
        <w:t>E. 3.2</w:t>
      </w:r>
    </w:p>
    <w:p>
      <w:r>
        <w:t>Der Beschwerdeführer bemängelt die Feststellung des Beginns der Arbeitsunfähigkeit, den Einkommensvergleich, die Verwertbarkeit der Restarbeitsfähigkeit und die Nichtgewährung ei- nes Leidensabzugs.</w:t>
      </w:r>
    </w:p>
    <w:p>
      <w:r>
        <w:rPr>
          <w:b/>
        </w:rPr>
        <w:t>E. 4.1</w:t>
      </w:r>
    </w:p>
    <w:p>
      <w:r>
        <w:t>In seiner Stellungnahme vom 8. April 2022 (IV-act. 108) hält Internist Dr. med. C.__ vom RAD fest, gemäss Behandler bestehe seit 1. Oktober 2020 eine 100% Arbeitsunfähigkeit. Die me- dizinischen Unterlagen für die Beurteilung des Rentenanspruchs seien schlüssig und nach- vollziehbar. Ein Gesundheitsschaden mit längeren Auswirkungen auf die Arbeitsfähigkeit sei ausgewiesen, wobei von den folgenden Diagnosen auszugehen sei: • mit Auswirkungen auf die AF o Leichte – mittelschwere neuropsychologische Störung, am ehesten multifaktorieller Genese ▪ 22.03.2021: Störungen in Teilbereichen der Aufmerksamkeit und Einschränkungen der Mnestik (v.a. verbal) – Symptomvalidierung unauff. o Kardiomyopathie whs multifaktorieller Genese bei koronarer 1-Gefäss-Erkrankung und Diabe- tes mellitus ▪ LSB (Linksschenkel-Block) ▪ NYHA I</w:t>
      </w:r>
    </w:p>
    <w:p>
      <w:r>
        <w:t>8│19 ▪ St. n. Implantation 2-Kammer-ICD 09/2014 ▪ LVEF vis 50% 12/2018; 55% 02/2021 o peripher arterielle Verschluss-Krankheit Fontaine Stadium IIa – IIb links, Stadium IV rechts ▪ St. n. Ballonanigoplastie A. fem. sup. rechts 11/2018 und links 01/2019 ▪ 18.11.2021/19.11.2021: Rekanalisation AFS, PTA &amp; Stenting / Rekanalisation Stentthrombose der AFS &amp; Angiplastie, Amputation Grosszehe rechts o Diabetes mellitus Typ I ▪ Schlechte BZ-Kontrolle ▪ diab. Polyneuropathie &amp; Retinopathie ▪ diab. Fuss-Syndrom mit Osteomyelitis Endphalanx Dig I rechts • 22.11.2021: Exartikulations-Amputation Dig I Fuss rechts • ohne Auswirkungen auf die Arbeitsfähigkeit o Amaurose (Blindheit) rechts, Katarakt links o Dyslipidämie o Nikotinabusus o Chondropathie Condylus femoralis medial Grad III, lateral Grad II</w:t>
      </w:r>
    </w:p>
    <w:p>
      <w:r>
        <w:t>Die Funktionsfähigkeit bezogen auf die angestammte, kognitiv anspruchsvolle Tätigkeit als selbständigerwerbender Informatiker sei aus rein neuropsychologischer Sicht mindestens mit- telgradig eingeschränkt, entsprechend einer mindestens 50% Arbeitsunfähigkeit, zu beurtei- len. Die zuletzt vorliegende Behandlungsintensität (zahlreiche/gehäufte ärztliche Konsultatio- nen/Interventionen) und die allg. Polymorbidität mitberücksichtigend liege die effektive Arbeits- fähigkeit indes noch tiefer bzw. höchstens geschätzte 30%, entsprechend einer 70%igen Ar- beitsunfähigkeit. In einer angepassten kognitiv weniger anspruchsvollen Tätigkeit mit Aufga- ben mit hohem Routine-Anteil und geringem Zeit-/Produktionsdruck, ohne hohe Anforderun- gen an das Multi-Tasking und zudem in einem ruhigen, störarmen Umfeld sei medizinisch- theoretisch von einer 50%igen Arbeitsfähigkeit auszugehen; ob der 58-järhige Versicherte – den jüngsten Verlauf berücksichtigend – seine Rest-Arbeitsfähigkeit in angepasster Tätigkeit im 1. Arbeitsmarkt realistisch zu verwerten vermöchte, erachte er als eher fraglich, müsse letztlich aber vom Rechtsanwender beurteilt werden. Das geschilderte Profil habe mindestens seit Oktober 2020 Gültigkeit.</w:t>
      </w:r>
    </w:p>
    <w:p>
      <w:r>
        <w:rPr>
          <w:b/>
        </w:rPr>
        <w:t>E. 4.2</w:t>
      </w:r>
    </w:p>
    <w:p>
      <w:r>
        <w:t>Für die Beurteilung des medizinischen Sachverhaltes stünden noch zahlreiche weitere medi- zinische Akten zur Verfügung, welche auch allesamt vom Gericht gewürdigt worden sind. Auf deren Wiedergabe kann hier aber verzichtet werden, nachdem sowohl die IV-Stelle als auch der anwaltlich vertretene Beschwerdeführer auf die RAD-Stellungnahme abstellen und diese auch vom Gericht als voll beweiswertig erachtet wird (unten E. 5.1).</w:t>
      </w:r>
    </w:p>
    <w:p>
      <w:r>
        <w:t>9│19</w:t>
      </w:r>
    </w:p>
    <w:p>
      <w:r>
        <w:rPr>
          <w:b/>
        </w:rPr>
        <w:t>E. 5.1</w:t>
      </w:r>
    </w:p>
    <w:p>
      <w:r>
        <w:t>In medizinisch-theoretischer Hinsicht bildete die RAD-Stellungnahme (vorne E. 4.1) Grund- lage der angefochtenen Verfügung. Der Beschwerdeführer zweifelt die darin festgestellte Restarbeitsfähigkeit sowie das darin definierte Belastungsprofil nicht an respektive geht in sei- ner Beschwerdeschrift ebenfalls davon aus (Beschwerde Ziff. 4 S. 6). Auch aus den Akten ergeben sich keine Zweifel an der Zuverlässigkeit und Schlüssigkeit dieser fachärztlichen Fest- stellungen. Die versicherungsinterne Stellungnahme ist demnach voll beweiswertig (vorne E. 2.3), weshalb darauf abzustellen ist. Damit ist erstellt, dass der Beschwerdeführer mindestens seit Oktober 2020 in einer dem Be- lastungsprofil entsprechenden Verweistätigkeit grundsätzlich zu 50% arbeitsfähig ist (Restar- beitsfähigkeit). Dabei muss es sich bei der Verweistätigkeit um eine kognitiv weniger an- spruchsvollen Tätigkeit mit Aufgaben mit hohem Routine-Anteil und geringem Zeit-/Produkti- onsdruck, ohne hohe Anforderungen an das Multi-Tasking und zudem in einem ruhigen, stör- armen Umfeld handeln (Belastungsprofil). Strittig ist lediglich, ob die Restarbeitsfähigkeit be- reits vor dem 1. Oktober 2020 bestand (nachfolgende E. 5.2) und ob sie tatsächlich verwertbar ist (nachfolgende E. 5.3).</w:t>
      </w:r>
    </w:p>
    <w:p>
      <w:r>
        <w:rPr>
          <w:b/>
        </w:rPr>
        <w:t>E. 5.2.1</w:t>
      </w:r>
    </w:p>
    <w:p>
      <w:r>
        <w:t>Der Beschwerdeführer stellt sich (erstmals in der Replik) auf den Standpunkt, dass bei einer gesundheitlichen Verschlechterung als schleichenden Prozess, welcher sich im IK-Auszug ab 2018 abbilde, die Verfügung insofern falsch sei, als sie den Beginn der Einschränkung der Arbeitsfähigkeit erst per 1. Oktober 2020 darstelle. Der Beginn des Wartejahres erweise sich als falsch verfügt. Der Beginn der invalidisierenden Arbeitsunfähigkeit sei korrigierend auf den 1. Januar 2018 zu legen (Replik Ziff. 2b S. 4).</w:t>
      </w:r>
    </w:p>
    <w:p>
      <w:r>
        <w:t>10│19</w:t>
      </w:r>
    </w:p>
    <w:p>
      <w:r>
        <w:rPr>
          <w:b/>
        </w:rPr>
        <w:t>E. 5.2.2</w:t>
      </w:r>
    </w:p>
    <w:p>
      <w:r>
        <w:t>Der Hausarzt des Beschwerdeführers, Internist Dr. med. D.__, attestierte diesem eine (voll- ständige) Arbeitsunfähigkeit ab dem 1. Oktober 2020 (IV-act. 15 S. 2). Andere echtzeitliche medizinische Einschätzungen, aufgrund welcher auf einen früheren Beginn einer ununterbro- chenen Arbeitsunfähigkeit im Sinne von Art. 28 Abs. 1 IVG geschlossen werden könnte (zur diesbezüglichen Notwendigkeit: KASPAR GERBER, IVG, 2022, N 152-156 zu Art. 28 IVG), sind nicht vorhanden und werden vom Beschwerdeführer auch nicht genannt. Es ist demnach nicht zu beanstanden, wenn die IV-Stelle den Beginn der einjährigen Wartefrist auf den 1. Oktober 2020 festlegte und einen Rentenanspruch erst ab dem 1. Oktober 2021 prüfte.</w:t>
      </w:r>
    </w:p>
    <w:p>
      <w:r>
        <w:rPr>
          <w:b/>
        </w:rPr>
        <w:t>E. 5.3.1</w:t>
      </w:r>
    </w:p>
    <w:p>
      <w:r>
        <w:t>Mit seiner Beschwerde macht der Beschwerdeführer geltend (zum Ganzen: Ziff. 4 S. 6 ff.), gemäss dem Profil könne er nur noch angepasste, kognitiv wenig anspruchsvolle Arbeit mit einem hohen Anteil an Routine, geringem Zeitdruck und geringem Produktionsdruck, ohne hohe Anforderungen an Multitasking, dies zudem nur in einem ruhigen und störarmen Umfeld ausüben. Die Restarbeitsfähigkeit für diese angepasste Tätigkeit betrage 50%. Sodann be- stünden aber weitere erhebliche qualitative Einschränkungen an eine zumutbare Arbeitstätig- keit: − Seine Gehstrecke sei massiv eingeschränkt; − Eine Berufstätigkeit mit Schichtarbeit, in der Nacht oder am Wochenende sei ausge- schlossen; − Böden müssten eben sein; − Arbeiten mit Gefahr von Stolpern und Stürzen sei zu vermeiden; − Berufstätigkeiten mit Treppen oder Gewichtsbelastungen seien zu vermeiden; − Arbeiten an gefährlichen Maschinen kämen nicht in Frage; − Längere Arbeitswege und solche mit öffentlichem Verkehr ohne Sitzplatz zu Stosszei- ten seien nicht möglich; − Arbeit als Informatiker und im Büro würden nicht in Frage kommen Hinzu kämen zwischenmenschliche Schwierigkeiten, die sich negativ auf Teamfähigkeit und Subordination auswirken würden. Zudem sei er bald 59 Jahre alt, er habe bloss die Realschule absolviert und sei bereits einmal umgeschult worden. In leichter und angepasster Tätigkeit habe er seit Jahrzehnten nicht mehr gearbeitet und er habe keine verwertbare</w:t>
      </w:r>
    </w:p>
    <w:p>
      <w:r>
        <w:t>11│19 Berufserfahrung, zumal er jahrelang in selbstständiger Anstellung tätig gewesen sei. Die Rest- arbeitsfähigkeit sei deshalb nicht verwertbar.</w:t>
      </w:r>
    </w:p>
    <w:p>
      <w:r>
        <w:rPr>
          <w:b/>
        </w:rPr>
        <w:t>E. 5.3.2</w:t>
      </w:r>
    </w:p>
    <w:p>
      <w:r>
        <w:t>Der Beschwerdeführer ist ein einer angepassten Tätigkeit zu 50% arbeitsfähig, wobei es sich bei der Verweistätigkeit um eine kognitiv weniger anspruchsvollen Tätigkeit mit Aufgaben mit hohem Routine-Anteil und geringem Zeit-/Produktionsdruck, ohne hohe Anforderungen an das Multi-Tasking und zudem in einem ruhigen, störarmen Umfeld handeln muss (s. vorne E. 5.1). Soweit er ausführt, sein Gesundheitszustand würde Tätigkeiten mit längeren Gehstrecken, mit Schicht-, Nacht- und Wochenendarbeit, an gefährlichen Maschinen, mit längerem Arbeitsweg (oder öffentlichem Verkehr ohne Sitzplatz zu Stosszeiten) oder als Informatiker beziehungs- weise im Büro ausschliessen und Arbeitsstellen ohne ebene Böden, mit Stolper- oder Sturz- gefahr sowie mit Treppen oder Gewichtsbelastungen kämen nicht in Frage, kann ihm nicht gefolgt werden. Solche Funktionseinschränkungen sind nicht mittels fachärztlicher Befunde objektiviert oder plausibilisiert, was aber erforderlich wäre (Urteil des Bundesgerichts 9C_474/2017 vom 4. Oktober 2017 E. 4.1 mit Hinweis auf BGE 140 V 290 E. 3.3.1). Bezeich- nenderweise ist denn auch keine der vom Beschwerdeführer in diesem Zusammenhang ge- nannten Aktenstellen (IV-act. 46, 106, 110) einschlägig. Veranlassung, das Belastungsprofil entsprechend zu ergänzen, besteht nicht. Der ausgeglichene Arbeitsmarkt ist als theoretische Grösse durch ein gewisses Gleichgewicht zwischen Angebot und Nachfrage nach Arbeitskräften gekennzeichnet und weist einen Fächer verschiedenster Tätigkeiten auf (Urteil des Bundesgerichts 8C_202/2021 vom 17. Dezember 2021 E. 5.1). Zumutbare Tätigkeiten, welche dem Profil des Beschwerdeführers entsprechen, hält dieser ohne Weiteres bereit, zumal sein Restarbeitsfähigkeitsprofil nach Gesagtem weder qualitativ noch quantitativ in umfassender Weise eingeschränkt ist und eine Unverwertbarkeit nach der Rechtsprechung erst anzunehmen wäre, wenn die zumutbare Tätigkeit in nur so eingeschränkter Form möglich wäre, dass sie der ausgeglichene Arbeitsmarkt praktisch nicht kennt oder sie nur unter nicht realistischem Entgegenkommen eines durchschnittlichen Arbeit- gebers möglich wäre und das Finden einer entsprechenden Stelle daher von vorneherein als ausgeschlossen erschiene (Urteil des Bundesgerichts 8C_202/2021 vom 17. Dezember 2021 E. 5.1), was hier offensichtlich nicht der Fall ist. Auch IV-fremde, psychosoziale Belastungs- faktoren wie zwischenmenschliche Schwierigkeiten am Arbeitsplatz und die Tatsache, dass der Beschwerdeführer während längerer Zeit nicht subordiniert einer Erwerbstätigkeit nach- ging, sprechen nicht gegen die Verwertbarkeit der Restarbeitsfähigkeit. Von fehlender</w:t>
      </w:r>
    </w:p>
    <w:p>
      <w:r>
        <w:t>12│19 Ausbildung, Berufserfahrung oder «arbeitsmarktlicher Desintegration» kann keine Rede sein, war der Beschwerdeführer schliesslich zuletzt langjährig als Informatiker auf Auftragsbasis dienstleistungserbringend mit eigener Firma tätig. Er ist im Übrigen ausgebildeter Kabelma- schinenoperateur und technischer Kaufmann (IV-act. 3 S. 1 f.), verfügt über ein Handels-Dip- lom (IV-act. 3 S. 4), hat verschiedene Weiterbildungen im IT-Bereich absolviert (IV-act. 3 S. 12 f.) und arbeitete vor seiner Tätigkeit als selbstständiger Informatiker in unterschiedlichen Be- rufen in diversen Sektoren (IV-act. 3 S. 5 ff.). Tätigkeiten auf dem ausgeglichenen Arbeits- markt mit tiefem Kompetenzniveau sind unter diesen Gesichtspunkten ohne Weiteres möglich. Auch steht der Beschwerdeführer nicht «kurz vor dem AHV-Alter», war er im Zeitpunkt der Verfügung schliesslich erst rund 59-jährig, was auch eine berufliche Neuorientierung nicht aus- schliessen würde. Mit Blick auf das Belastungsprofil, die vorhandenen Ressourcen und die bis zur Pensionierung verbleibenden Zeit (vgl. Urteil des Bundesgerichts 9C_825/2016 vom</w:t>
      </w:r>
    </w:p>
    <w:p>
      <w:r>
        <w:rPr>
          <w:b/>
        </w:rPr>
        <w:t>E. 10</w:t>
      </w:r>
    </w:p>
    <w:p>
      <w:r>
        <w:t>Juli 2017 E. 4.5) kann die Restarbeitsfähigkeit auf dem ausgeglichenen Arbeitsmarkt zwei- felsohne verwertet werden.</w:t>
      </w:r>
    </w:p>
    <w:p>
      <w:r>
        <w:t>6.</w:t>
      </w:r>
    </w:p>
    <w:p>
      <w:r>
        <w:t>6.1</w:t>
      </w:r>
    </w:p>
    <w:p>
      <w:r>
        <w:t>Die IV-Stelle erwog in der angefochtenen Verfügung, der Beschwerdeführer könne ohne ge- sundheitliche Einschränkungen in der zuletzt ausgeübten beruflichen Tätigkeit als Firmenin- haber und Geschäftsführer der B.__ GmbH, __, ein jährliches Einkommen von Fr. 90'000.– erzielen.</w:t>
      </w:r>
    </w:p>
    <w:p>
      <w:r>
        <w:t>6.2</w:t>
      </w:r>
    </w:p>
    <w:p>
      <w:r>
        <w:t>Der Beschwerdeführer führt aus, massgebend sei das im Jahr 2021 ohne gesundheitliche Ein- busse hypothetische Einkommen. Der Mittelwert des Jahres 2013 sei der Teuerung und der realen Einkommensentwicklung anzupassen. Nominallohnbereinigt würden die vormaligen Fr. 90'000.– per Jahr 2021 Fr. 94'129.–, berechnet mit dem Nominallohnindex Sektor 3, Dienstleistungen (2013: 128.6 Pkt.; 2021: 134.5 Pkt. [BF-Bel. 3]). Die Invalidität habe sich zu- dem schleichend entwickelt (Beschwerde Ziff. 2 S. 4 f.). Zudem seien Gewinne und/oder «fringe benefits» seiner eigenen GmbH dem Valideneinkommen hinzuzuschlagen (zum Gan- zen: Replik Ziff. 2a S. 2 f.).</w:t>
      </w:r>
    </w:p>
    <w:p>
      <w:r>
        <w:t>13│19 6.3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Hingegen ist nicht massgebend, was die versi- cherte Person im massgebenden Zeitpunkt des Rentenbeginns bestenfalls verdienen könnte (Urteil des Bundesgerichts 8C_504/2018 vom 19. Oktober 2018 E. 3.5.2). Für die Bestimmung des hypothetischen Valideneinkommens ist grundsätzlich von den Einträgen im Individuellen Konto (IK) auszugehen (Urteil des Bundesgerichts 9C_852/2015 vom 12. Januar 2016 E. 3.1).</w:t>
      </w:r>
    </w:p>
    <w:p>
      <w:r>
        <w:t>6.4</w:t>
      </w:r>
    </w:p>
    <w:p>
      <w:r>
        <w:t>Der IK-Auszug (IV-act. 8) erhellt, dass der Beschwerdeführer (in seiner Tätigkeit für die eigene GmbH) in den Jahren 2009 bis 2017 einen gleichbleibenden Jahreslohn von Fr. 90'000.– er- zielte. Die IV-Stelle durfte davon ausgehen, dass der Beschwerdeführer als Gesunder mit überwiegender Wahrscheinlichkeit einen Lohn von Fr. 90'000.– als (selbstständiger) Informa- tiker zu erzielen im Stande wäre. Effektiv kam es im vorgenannten Zeitraum zu keiner Lohn- entwicklung. Namentlich hat er sich, obwohl er Firmeninhaber und damit sein eigener Arbeit- geber war, auch keinen Teuerungsausgleich gewährt. Es besteht deshalb kein Anlass für die Aufrechnung eines Teuerungsausgleichs respektive eine nominale Bereinigung seines Vali- deneinkommens, nachdem eine solche Veränderung nicht mit überwiegender Wahrscheinlich- keit erstellt ist. Im Übrigen erscheint zutreffend, wenn die IV-Stelle annahm, dass sich der Beschwerdeführer in den Jahren 2018 und 2019 sodann lediglich noch Fr. 60'000.– ausbe- zahlte, dieser Rückgang aber auf einen besonderen wirtschaftlichen Faktor zurückzuführen sei und deshalb unberücksichtigt zu bleiben habe: Der Beschwerdeführer verlor Mitte 2018 ein seit über 20 Jahre laufendes Mandat einer Grosskundin, weil es zu Konflikten mit der neuen Ansprechperson bei der Grosskundin (und in diesem Zusammenhang zu unbewiesen geblie- benen Mobbing-Vorwürfen) kam (IV-act. 104 S. 2). Der Wegfall dieses Mandats konnte kurz- fristig nicht kompensiert werden, was sich in seinem Lohn 2018/2019 niederschlug. Unbegründet ist zuletzt der Einwand des Beschwerdeführers, ihm seien Gewinne der GmbH und/oder über diese gewährte «fringe benefits» beim Valideneinkommen aufzurechnen. Die</w:t>
      </w:r>
    </w:p>
    <w:p>
      <w:r>
        <w:t>14│19 GmbH verfügt über eine eigene Rechtspersönlichkeit (Art. 779 OR); allfällig von ihr erzielte Gewinne sind ihr und nicht den jeweiligen Gesellschaftern zuzurechnen, womit eine Aufrech- nung beim Valideneinkommen des Beschwerdeführers ausser Betracht fällt. Gleiches gilt für die angeblichen «fringe benefits», indem die GmbH Beiträge an den privaten Mietzins und Nebenkosten des Beschwerdeführers geleistet haben soll. Solche angebliche (zusätzliche) Einkommensbestandteile korrespondieren nicht mit dem IK-Auszug (IV-act. 6). Die Geltend- machung bei den Sozialversicherungsbeiträgen nicht angegebener Einkünfte im Versiche- rungsfall ist rechtsmissbräuchlich (Art. 2 Abs. 2 ZGB) und unzulässig (Urteil des Bundesge- richts 8C_554/2013 vom 14. November 2013 E. 2.4.2.</w:t>
      </w:r>
    </w:p>
    <w:p>
      <w:r>
        <w:t>6.5</w:t>
      </w:r>
    </w:p>
    <w:p>
      <w:r>
        <w:t>Demnach ist übereinstimmend mit der Vorinstanz von einem Valideneinkommen von Fr. 90'000.– auszugehen.</w:t>
      </w:r>
    </w:p>
    <w:p>
      <w:r>
        <w:t>7.</w:t>
      </w:r>
    </w:p>
    <w:p>
      <w:r>
        <w:t>7.1</w:t>
      </w:r>
    </w:p>
    <w:p>
      <w:r>
        <w:t>Die IV-Stelle erwog in der angefochtenen Verfügung, dass der Beschwerdeführer mit seiner Restarbeitsfähigkeit gemäss Lohnstrukturerhebungen des Bundes (LSE), Kompetenzniveau 1, Männer; ein jährliches Einkommen von noch Fr. 34'708.– erzielen könnte (Fr. 5'417.– x 12 = Fr. 65'004.–; der Wochenarbeitszeit angepasst x 41.7 ÷ 40 = Fr. 67'767.–; der Teuerung angepasst x 2315 ÷ 2260 = Fr. 69'416.–; davon 50%). Sie gewährte ihm keinen Leidensabzug.</w:t>
      </w:r>
    </w:p>
    <w:p>
      <w:r>
        <w:t>7.2</w:t>
      </w:r>
    </w:p>
    <w:p>
      <w:r>
        <w:t>Der Beschwerdeführer moniert, die IV-Stelle habe bei der Festsetzung des Invalideneinkom- mens auf eine nicht aktuelle Tabelle abgestellt, indem sie den LSE 2018 TA1 verwendet habe. Am 23. August 2022 sei die LSE 2022 TA1 publiziert worden. Es resultiere per 2021 bei einer Restarbeitsfähigkeit von 50% ein Einkommen von Fr. 32'858.– (Beschwerde Ziff. 3 S. 5). Die Zahlen der LSE 2018 TA1 seien zudem nachweislich statistisch falsch berechnet und zu tief (zum Ganzen: Replik Ziff. 3 S. 4 ff.). Im Weiteren wird geltend gemacht, es sei der maximale Leidensabzug von 25% zu gewähren (zum Ganzen: Beschwerde Ziff. 4 S. 6 ff.).</w:t>
      </w:r>
    </w:p>
    <w:p>
      <w:r>
        <w:t>15│19 7.3</w:t>
      </w:r>
    </w:p>
    <w:p>
      <w:r>
        <w:t>7.3.1 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Erwerbseinkommen gegeben, namentlich, weil die versicherte Person nach Eintritt des Gesundheitsschadens keine oder jedenfalls keine ihr an sich zumutbare neue Erwerbstätigkeit aufgenommen hat, können ge- mäss Rechtsprechung die Tabellenlöhne der LSE herangezogen werden. Dabei wird in der Regel der Totalwert angewendet. Praxisgemäss ist beim anhand der LSE vorgenommenen Einkommensvergleich sodann von der Tabellengruppe A (standardisierte Bruttolöhne) auszu- gehen, wobei üblicherweise auf die Tabelle TA1_tirage_skill_level, Privater Sektor, abgestellt wird. Dieser Grundsatz gilt jedoch nicht absolut, sondern kennt Ausnahmen. Es kann sich rechtsprechungsgemäss durchaus rechtfertigen, auf die Tabelle TA7 resp. T17 (ab 2012) ab- zustellen, wenn dies eine genauere Festsetzung des Invalideneinkommens erlaubt und wenn der versicherten Person der öffentliche Sektor auch offensteht. Bei der Verwendung der stan- dardisierten Bruttolöhne ist gemäss Rechtsprechung jeweils vom sogenannten Zentralwert (Median) auszugehen (BGE 148 V 174 E. 6.2 m.w.H.). Zu verwenden sind dabei die jeweils aktuellsten Tabellenwerte. Gemeint sind dabei nicht die im Verfügungszeitpunkt aktuellsten Tabellenwerte, sondern die im Verfügungszeitpunkt bezo- gen auf den Zeitpunkt des Rentenbeginns aktuellsten veröffentlichten Daten (Urteil des Bun- desgerichts 8C_202/2021 vom 17. Dezember 2021 E. 6.2.2).</w:t>
      </w:r>
    </w:p>
    <w:p>
      <w:r>
        <w:t>7.3.2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w:t>
      </w:r>
    </w:p>
    <w:p>
      <w:r>
        <w:t>16│19 Erfolg verwerten kann. Der Abzug soll aber nicht automatisch erfolgen. Er ist unter Würdigung der Umstände im Einzelfall nach pflichtgemässem Ermessen gesamthaft zu schätzen und darf 25% nicht übersteigen. Die Rechtsprechung gewährt insbesondere dann einen Abzug vom 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(BGE 148 V 174 E. 6.3 m.w.H.). Nach ständiger Rechtsprechung darf das (kantonale) Sozialversicherungsgericht sein Ermes- sen, wenn es um die Beurteilung des Tabellenlohnabzuges geht, nicht ohne triftigen Grund an die Stelle desjenigen der Verwaltung setzen; es muss sich auf Gegebenheiten abstützen kön- nen, welche seine abweichende Ermessensausübung als naheliegender erscheinen lassen (BGE 137 V 71 E. 5.2 und 126 V 75 E. 6).</w:t>
      </w:r>
    </w:p>
    <w:p>
      <w:r>
        <w:t>7.4</w:t>
      </w:r>
    </w:p>
    <w:p>
      <w:r>
        <w:t>Insoweit der Beschwerdeführer zunächst moniert, die IV-Stelle habe bei der Berechnung des Invalideneinkommens fälschlicherweise die LSE 2018 TA1 und nicht die am 23. August 2022 publizierte LSE 2022 TA1 verwendet, kann ihm nicht gefolgt werden. Zeitpunkt des Rentenbe- ginns ist der 1. Oktober 2021. Die LSE 2018 TA1 enthielt die dannzumal aktuellsten veröffent- lichten Daten, weshalb auch darauf abzustellen war (Urteil des Bundesgerichts 8C_202/2021 vom 17. Dezember 2021 E. 6.2.2). Im Übrigen entspricht die Verwendung der LSE-Tabellen- löhne der ständigen Praxis und Rechtsprechung des Bundesgerichts (s. vorne E. 7.3.1), womit sich eine weitergehende Auseinandersetzung mit der Kritik des Beschwerdeführers an der Verlässlichkeit dieser statistischen Daten und Tabellenlöhnen erübrigt. Weiter verlangt der Beschwerdeführer die Gewährung eines Leidensabzugs von 25%. Er stützt sich diesbezüglich aber weitestgehend auf Einschränkungen, die nicht ausgewiesen sind (keine Tätigkeiten mit längeren Gehstrecken, mit Schicht-, Nacht- und Wochenendarbeit, an gefährlichen Maschinen, mit längerem Arbeitsweg [oder öffentlichem Verkehr ohne Sitzplatz zu Stosszeiten] oder als Informatiker beziehungsweise im Büro; keine Arbeitsstellen mit un- ebenen Böden, Stolper- oder Sturzgefahr sowie Treppen oder Gewichtsbelastungen [s. vorne E. 5.3.2]) oder aber bereits im Rahmen der Beurteilung der medizinischen Arbeitsfähigkeit be- rücksichtigte, leidensbedingte Einschränkungen (s. Restarbeitsfähigkeitsprofil vorne E. 5.1). Es wäre unzulässig, diese Einschränkungen bei der Bemessung des Leidensabzugs (erneut) zu berücksichtigen. Als weiterer Faktoren werden einzig das Alter und die Ausbildung genannt:</w:t>
      </w:r>
    </w:p>
    <w:p>
      <w:r>
        <w:t>17│19 Auch das Alter des Beschwerdeführers (59 Jahre) vermag keinen leidensbedingten Abzug zu rechtfertigen. Zum einen fällt der Umstand, dass die Stellensuche altersbedingt erschwert sein mag, als invaliditätsfremder Faktor regelmässig ausser Betracht (Urteil des Bundesgerichts 8C_327/2018 vom 31. August 2018 E. 4.4.2). Zum anderen muss sich ein fortgeschrittenes Alter insbesondere im Bereich der Hilfsarbeiten nicht zwingend lohnsenkend auswirken, zumal gerade solche auf dem massgebenden ausgeglichenen Stellenmarkt altersunabhängig nach- gefragt werden (Urteil des Bundesgerichts 8C_799/2021 vom 3. März 2022 E. 4.3.3 m.w.H.). Die vorhandenen beruflichen Ressourcen, insbesondere auch seine Ausbildung und sein be- ruflicher Werdegang (E. 5.3.2) sprechen überdies nicht gegen den Beschwerdeführer, son- dern dafür, dass er die verbliebene Arbeitsfähigkeit auf einem ausgeglichenen Arbeitsmarkt erfolgreich wird verwerten können. Anhaltspunkte für andere persönliche und berufliche Merk- male, wie Art und Ausmass der Behinderung, Dienstjahre, Nationalität oder Aufenthaltskate- gorie und Beschäftigungsgrad, welche Auswirkungen auf die Lohnhöhe haben können und aufgrund welcher der Beschwerdeführer die verbliebene Arbeitsfähigkeit auf einem ausgegli- chenen Arbeitsmarkt nur mit unterdurchschnittlichem erwerblichem Erfolg verwerten könnte, werden vom Beschwerdeführer nicht genannt und sind auch keine ersichtlich. Jedenfalls be- steht keine Veranlassung hinsichtlich der Beurteilung des Tabellenlohnabzuges in die Ermes- senausübung der IV-Stelle einzugreifen und einen Leidensabzug zu gewähren.</w:t>
      </w:r>
    </w:p>
    <w:p>
      <w:r>
        <w:t>7.5</w:t>
      </w:r>
    </w:p>
    <w:p>
      <w:r>
        <w:t>Demnach ist übereinstimmend mit der Vorinstanz von einem Invalideneinkommen im Betrage von Fr. 34'708.– auszugehen.</w:t>
      </w:r>
    </w:p>
    <w:p>
      <w:r>
        <w:t>8.</w:t>
      </w:r>
    </w:p>
    <w:p>
      <w:r>
        <w:t>Die Gegenüberstellung des Validen- (Fr. 90'000.–) und des Invalideneinkommens (Fr. 34'708.–) ergibt eine Erwerbseinbusse von Fr. 55'292.–. Zutreffenderweise schloss die IV- Stelle auf einen Invaliditätsgrad von 61%.</w:t>
      </w:r>
    </w:p>
    <w:p>
      <w:r>
        <w:t>9.</w:t>
      </w:r>
    </w:p>
    <w:p>
      <w:r>
        <w:t>Insgesamt erweist sich die angefochtene Verfügung als rechtens. Die Beschwerde ist unbe- gründet und vollumfänglich abzuweisen.</w:t>
      </w:r>
    </w:p>
    <w:p>
      <w:r>
        <w:t>18│19</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dem Beschwerdeführer auferlegt. Sie werden mit dessen Kostenvorschuss in gleicher Höhe verrechnet und sind bezahlt.</w:t>
      </w:r>
    </w:p>
    <w:p>
      <w:r>
        <w:rPr>
          <w:b/>
        </w:rPr>
        <w:t>E. 10.2</w:t>
      </w:r>
    </w:p>
    <w:p>
      <w:r>
        <w:t>Dem unterliegenden Beschwerdeführer ist keine Parteientschädigung zuzusprechen (Art. 61 lit. g ATSG e contrario).</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