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32189 vom 23. Januar 2023</w:t>
      </w:r>
    </w:p>
    <w:p>
      <w:r>
        <w:t>NW Gerichte, 2023-01-23, DE</w:t>
      </w:r>
    </w:p>
    <w:p>
      <w:r>
        <w:rPr>
          <w:b/>
        </w:rPr>
        <w:t xml:space="preserve">Quelle: </w:t>
      </w:r>
      <w:r>
        <w:t>https://mcp.opencaselaw.ch/entscheid/nw_gerichte_32189</w:t>
      </w:r>
    </w:p>
    <w:p>
      <w:r>
        <w:t>FR: NW_GERICHTE 32189 du 23 janvier 2023</w:t>
      </w:r>
    </w:p>
    <w:p>
      <w:r>
        <w:t>IT: NW_GERICHTE 32189 del 23 gennaio 2023</w:t>
      </w:r>
    </w:p>
    <w:p>
      <w:pPr>
        <w:pStyle w:val="Heading2"/>
      </w:pPr>
      <w:r>
        <w:t>Regeste</w:t>
      </w:r>
    </w:p>
    <w:p>
      <w:r>
        <w:t>Führerausweisentzug (VA 22 24)</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Die Beschwerdeführerin hat Wohnsitz in Stans und hat gegen den Einspracheentscheid des VSZ vom 19. Oktober 2022 Beschwerde erhoben. Das Verwaltungsgericht Nidwalden ist somit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Das VSZ hat der Beschwerdeführerin in der angefochtenen Verfügung den Führerausweis auf unbestimmte Zeit entzogen, womit sie besonders berührt ist und ein schutzwürdiges Interesse an der Aufhebung oder Abänderung dieser Verfügung hat. Die Beschwerdeführerin ist somit zur Beschwerde berechtigt.</w:t>
      </w:r>
    </w:p>
    <w:p>
      <w:r>
        <w:rPr>
          <w:b/>
        </w:rPr>
        <w:t>E. 1.3</w:t>
      </w:r>
    </w:p>
    <w:p>
      <w:r>
        <w:t>Die Beschwerde hat binnen 20 Tagen seit der Zustellung schriftlich und begründet zu erfolgen (Art. 12 Abs. 3 Vereinbarung VSZ). Die angefochtene Verfügung wurde am 20. Oktober 2022 vom beschwerdeführerischen Rechtsvertreter entgegengenommen (BF-Bel. 1 und 2), womit die Beschwerde vom 9. Novem- ber 2022 fristgerecht erfolgt ist. Die Beschwerde erfüllt die formellen Voraussetzungen, womit auf sie einzutreten ist.</w:t>
      </w:r>
    </w:p>
    <w:p>
      <w:r>
        <w:t>2. 2.1 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die Beschwerdeführerin auch darauf berufen, die angefochtene Verfügung oder der angefochtene Entscheid beruhe auf einem unrichtig oder unvollständig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denn auch Art. 91 Abs. 1 VRG</w:t>
      </w:r>
    </w:p>
    <w:p>
      <w:r>
        <w:rPr>
          <w:b/>
        </w:rPr>
        <w:t>E. 5</w:t>
      </w:r>
    </w:p>
    <w:p>
      <w:r>
        <w:t>│ 16</w:t>
      </w:r>
    </w:p>
    <w:p>
      <w:r>
        <w:rPr>
          <w:b/>
        </w:rPr>
        <w:t>E. 5.1</w:t>
      </w:r>
    </w:p>
    <w:p>
      <w:r>
        <w:t>Bei diesem Verfahrensausgang wird die Beschwerdeführerin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5.2</w:t>
      </w:r>
    </w:p>
    <w:p>
      <w:r>
        <w:t>Für das Beschwerdeverfahren vor dem Verwaltungsgericht beträgt die Gerichtsgebühr Fr. 100.-- bis Fr. 7'000.-- (Art. 17 PKoG). Die Entscheidgebühr des Verwaltungsgerichts wird vorliegend auf Fr. 1‘500.– festgesetzt. Die Gerichtskosten von Fr. 1'500.‒ werden der unterlie- genden Beschwerdeführerin auferlegt, mit dem von ihr geleisteten Vorschuss verrechnet und sind bezahlt.</w:t>
      </w:r>
    </w:p>
    <w:p>
      <w:r>
        <w:rPr>
          <w:b/>
        </w:rPr>
        <w:t>E. 5.3</w:t>
      </w:r>
    </w:p>
    <w:p>
      <w:r>
        <w:t>Die unterliegende Beschwerdeführerin hat keinen Anspruch auf eine Parteientschädigung.</w:t>
      </w:r>
    </w:p>
    <w:p>
      <w:r>
        <w:t>Den am Verfahren beteiligten Gemeinwesen wird in der Regel keine Parteientschädigung zu- gesprochen (Art. 123 Abs. 4 VRG). Das VSZ obsiegt im Rahmen seiner amtlichen Tätigkeit, weshalb die Beschwerdeführerin dem VSZ keine Parteientschädigung zu bezahlen hat.</w:t>
      </w:r>
    </w:p>
    <w:p>
      <w:r>
        <w:rPr>
          <w:b/>
        </w:rPr>
        <w:t>E. 6</w:t>
      </w:r>
    </w:p>
    <w:p>
      <w:r>
        <w:t>│ 16</w:t>
      </w:r>
    </w:p>
    <w:p>
      <w:r>
        <w:t>vorsieht. Die Parteien können jedoch die im vorinstanzlichen Verfahren zur Sache gestellten Anträge nicht ausdehnen oder inhaltlich ändern (Art. 91 Abs. 2 VRG).</w:t>
      </w:r>
    </w:p>
    <w:p>
      <w:r>
        <w:t>2.2 Die Beschwerdeführerin wehrt sich dagegen, dass das VSZ ihr die Fahrberechtigung für un- bestimmte Zeit entzogen hat (vgl. BF-Bel. 1). In formeller Hinsicht macht sie geltend, das VSZ habe ihr rechtliches Gehör verletzt, indem es sich im angefochtenen Entscheid nicht ausreichend mit ihren Argumenten auseinandergesetzt und ihr keine Gelegenheit gegeben habe, zur verkehrsmedizinischen Stellungnahme vom 19. September 2022 Stellung zu nehmen (amtl. Bel. 1 Ziff. IV./A.; nachfolgend: E. 3). In materieller Hinsicht bestreitet die Beschwerdeführerin den EtG-Wert von 7 pg/mg, den das IRM-UZH bei Analyse ihrer Haarprobe festgestellt und im Bericht vom 11. Mai 2022 festgehal- ten hat, nicht (amtl. Bel. 1 Ziff. III./1.). Sie bestreitet hingegen, dass bei einem EtG-Wert von</w:t>
      </w:r>
    </w:p>
    <w:p>
      <w:r>
        <w:rPr>
          <w:b/>
        </w:rPr>
        <w:t>E. 7</w:t>
      </w:r>
    </w:p>
    <w:p>
      <w:r>
        <w:t>│ 16</w:t>
      </w:r>
    </w:p>
    <w:p>
      <w:r>
        <w:t>3.2 Gemäss Art. 29 BV und Art. 6 EMRK haben die Parteien Anspruch auf rechtliches Gehör. Die- ser Anspruch verlangt, dass die Behörde die Vorbringen des vom Entscheid in seiner Rechts- stellung Betroffenen auch tatsächlich hört, prüft und in der Entscheidfindung berücksichtigt (BGE 124 I 49 E. 3a). Die Begründungspflicht und der Anspruch auf Begründung sind aber nicht bereits dadurch verletzt, dass sich die urteilende Behörde nicht mit allen Parteistand- punkten einlässlich auseinandersetzt und jedes einzelne Vorbringen ausdrücklich widerlegt. Vielmehr kann sie sich auf die für den Entscheid wesentlichen Punkte beschränken (BGE 124 I 49 E. 3a; BGE 126 I 97 E. 2b; Urteil des Bundesgerichts 5A_303/2012 vom 30. August 2012 E. 3.1). Der Anspruch auf rechtliches Gehör umfasst auch das Recht einer Partei, von allen dem Ge- richt eingereichten Stellungnahmen Kenntnis zu erhalten und sich soweit erforderlich dazu äussern zu können, unabhängig davon, ob sie neue tatsächliche oder rechtliche Vorbringen enthalten, die im konkreten Fall Einfluss auf das zu fällende Urteil haben können (BGE 142 III 48 E. 4.1.1 m.w.V., in: Pra 106 Nr. 4; BGE 139 I 189 E. 3.2 m.w.V., in: Pra 102 Nr. 112). Der Anspruch auf rechtliches Gehör ist formeller Natur, womit seine Verletzung grundsätzlich ungeachtet der materiellen Begründetheit des Rechtsmittels zur Gutheissung der Beschwerde und zur Aufhebung des angefochtenen Entscheids führt (BGE 135 I 187 E. 2.2). Eine nicht besonders schwerwiegende Verletzung des rechtlichen Gehörs kann allerdings ausnahms- weise als geheilt gelten, wenn die betroffene Person die Möglichkeit erhält, sich vor einer Rechtsmittelinstanz zu äussern, die sowohl den Sachverhalt wie die Rechtslage frei prüfen kann. Von einer Rückweisung der Sache ist selbst bei einer schwerwiegenden Verletzung des rechtlichen Gehörs dann abzusehen, wenn und soweit die Rückweisung zu einem formalisti- schen Leerlauf und damit zu unnötigen Verzögerungen führen würde, die mit dem (der Anhö- rung gleichgestellten) Interesse der betroffenen Partei an einer beförderlichen Beurteilung der Sache nicht zu vereinbaren wären (BGE 133 I 201 E. 2.2 S. 204 f.; 137 I 195 E. 2.3.2; Urteil des Bundesgerichts 5D_8/2016 vom 3. Juni 2016 E. 2.3). Auch die Wahrung des rechtlichen Gehörs stellt keinen Selbstzweck dar. Es besteht dann kein schützenswertes Interesse an der Aufhebung des angefochtenen Entscheids, wenn nicht be- stritten ist, dass eine allfällige Verletzung des rechtlichen Gehörs keinen Einfluss auf den Ver- fahrensausgang gehabt hätte. Andernfalls besteht die Gefahr, dass die Rückweisung der Sa- che an die Vorinstanz allein wegen der festgestellten Gehörsverletzung zu einem Leerlauf und einer unnötigen Verzögerung führt. Es wird deshalb für eine erfolgreiche Rüge der Verweige- rung des rechtlichen Gehörs grundsätzlich vorausgesetzt, dass die beschwerdeführende</w:t>
      </w:r>
    </w:p>
    <w:p>
      <w:r>
        <w:rPr>
          <w:b/>
        </w:rPr>
        <w:t>E. 7.0</w:t>
      </w:r>
    </w:p>
    <w:p>
      <w:r>
        <w:t>pg/mg könne nicht auf eine kosmetische Behandlung mit alkoholhaltigen Präparaten zu- rückgeführt werden, eine solche Behandlung führe nicht zur Einlagerung von Ethylglucuronid sondern zu einer Zerstörung oder Auswaschung des eingelagerten Ethylglucuronid (BF- Bel. 7). In der Verwaltungsbeschwerde macht die Beschwerdeführerin hingegen geltend, sie arbeite im Lebensmittelbereich, wo sie sich – insbesondere seit der neuen COVID-Mutation «Omik- ron» und den entsprechenden betrieblichen Weisungen – oft und regelmässig ihre Hände mit einer alkoholhaltigen Händedesinfektionslösung desinfiziere und gelegentlich auch Hand- schuhe tragen müsse. In einer Studie habe nachgewiesen werden können, dass der in der Desinfektionslösung enthaltene Alkohol zu gewissen Anteilen in den Blutkreislauf der Anwen- derin übertragen werde, wobei Handschuhe diesen Effekt verstärken würden. Die Beantwor- tung der diesbezüglichen Fragen des IRM-UZH vom 19. Oktober 2022 sei nicht schlüssig. Das</w:t>
      </w:r>
    </w:p>
    <w:p>
      <w:r>
        <w:rPr>
          <w:b/>
        </w:rPr>
        <w:t>E. 8</w:t>
      </w:r>
    </w:p>
    <w:p>
      <w:r>
        <w:t>│ 16</w:t>
      </w:r>
    </w:p>
    <w:p>
      <w:r>
        <w:t>Partei in der Begründung des Rechtsmittels angibt, welche Vorbringen sie bei Gewährung des rechtlichen Gehörs eingebracht hätte und inwiefern diese hätten erheblich sein können (Urteile des Bundesgerichts 4A_122/2021 vom 14. September 2021 E. 3.4.1 und 5A_561/2018 vom 14. Dezember 2018 E. 2.3 je m.w.V.).</w:t>
      </w:r>
    </w:p>
    <w:p>
      <w:r>
        <w:t>3.3 Im angefochtenen Entscheid werden die Argumente, welche die Beschwerdeführerin in der Einsprache vorgebracht hat, wiedergegeben, wie sie selbst einräumt (vgl. BF-Bel. 1 Rz. 14 – 25). Entgegen den Ausführungen der Beschwerdeführerin findet auch eine Auseinanderset- zung mit ihren Argumenten statt. Das erschliesst sich bereits daraus, dass das VSZ die Ein- sprache dem IRM-UZH vorgelegt und es um Beantwortung zweier Fragen ersucht hat (vgl. BF-Bel. 1 Rz. 26). Zudem setzt sich das VSZ über zweieinhalb Seiten mit den Argumenten der Beschwerdeführerin auseinander (vgl. BF-Bel. 1 Rz. 27 – 38). Die Beschwerdeführerin hat in der Einsprache nur zwei neue Dokumente eingereicht: Ein ärztliches Zeugnis des IRM-UZH betreffend Cannabis und ein Schreiben ihres Arbeitgebers (vgl. BF-Bel. 9 Beilage 10 und 11). Mit beiden setzt sich das VSZ zumindest indirekt auseinander, indem es ausführt, es könne nur aus triftigen Gründen von den Schlussfolgerungen des Gutachtens abweichen, und solche Gründe seien aus den Vorbringen der Beschwerdeführerin nicht ersichtlich. Auf das Zeugnis des Arbeitsgebers geht das VSZ überdies konkret ein und führt aus, dieses vermöge die Be- urteilung und Glaubwürdigkeit des Gutachtens nicht zu erschüttern (vgl. BF-Bel. 1 Rz. 34). Damit hat sich das VSZ in rechtsgenüglicher Weise mit den Argumenten der Beschwerdefüh- rerin auseinandergesetzt und seinen Entscheid ausreichend begründet, zumal die Begrün- dungspflicht nicht verlangt, dass jedes Vorbringen ausdrücklich widerlegt wird, sondern eine Beschränkung auf die wesentlichen Punkte zulässig ist.</w:t>
      </w:r>
    </w:p>
    <w:p>
      <w:r>
        <w:t>3.4 Es trifft zwar zu, dass sich die Beschwerdeführerin zu den Antworten des IRM-UZH vom 19. September 2022 vor Erlass des angefochtenen Entscheids nicht mehr äussern konnte. Es ist aber fraglich, ob es sich dabei überhaupt um eine Gehörsverletzung handelt, nachdem die Beschwerdeführerin in der Einsprache ihre das Desinfektionsmittel betreffenden Argumente vorbringen konnte, worauf das VSZ – als Reaktion auf die Vorbringen der Beschwerdeführerin – diese mit zwei entsprechenden Fragen an das IRM-UZH zur Beantwortung weitergeleitet hat. Diese Frage kann aber offenbleiben, da es sich um eine leichte Gehörsverletzung handeln würde, die im vorliegenden Beschwerdeverfahren geheilt werden kann. Entgegen den</w:t>
      </w:r>
    </w:p>
    <w:p>
      <w:r>
        <w:rPr>
          <w:b/>
        </w:rPr>
        <w:t>E. 9</w:t>
      </w:r>
    </w:p>
    <w:p>
      <w:r>
        <w:t>│ 16</w:t>
      </w:r>
    </w:p>
    <w:p>
      <w:r>
        <w:t>Ausführungen der Beschwerdeführerin war diese Frage für den angefochtenen Entscheid nicht ausschlaggebend, der Entscheid wäre aller Voraussicht nach auch ohne die Rückmeldung des IRM-UZH gleich ausgefallen. Zudem kann das Verwaltungsgericht die Sach- und Rechts- lage frei prüfen und die Beschwerdeführerin konnte im vorliegenden Verfahren zu den Antwor- ten des IRM-UZH vom 19. September 2022 Stellung nehmen und hat dies auch gemacht. Somit wäre eine allfällige Gehörsverletzung sowieso als geheilt zu betrachten.</w:t>
      </w:r>
    </w:p>
    <w:p>
      <w:r>
        <w:t>3.5 Das VSZ hat das rechtliche Gehör der Beschwerdeführerin nicht verletzt respektive eine all- fällige Verletzung könnte geheilt werden. Was die formellen Einwände betrifft, ist die Be- schwerde deshalb abzuweisen.</w:t>
      </w:r>
    </w:p>
    <w:p>
      <w:r>
        <w:t>4. 4.1 In materieller Hinsicht rügt die Beschwerdeführerin zusammengefasst, gemäss Bericht zur Haaranalyse vom 11. Mai 2022 habe ihre Haarprobe für den Zeitraum von Mitte November 2021 bis Mitte April 2022 einen EtG-Wert von 7 pg/mg aufgewiesen. Richtungsweisend, ob kein oder ein relevanter Alkoholkonsum vorliege, sei die Toleranzgrenze von 7 pg/mg. Es sei empirisch festgestellt worden, dass auch bei Abstinenzlern EtG-Werte bis zu 7 pg/mg vor- komme. Werte zwischen 2 und 7 pg/mg seien mit der Abstinenz vereinbar, weswegen der EtG- Wert in diesem Bereich nicht schlüssig sei, sondern die individuelle Gesamtsituation der un- tersuchten Person mitberücksichtigt werden müsse. Die bundesgerichtliche Rechtsprechung (BGE 140 II 334) gebe klar vor, dass erst Werte von über 7 pg/mg die Abstinenz missachteten. Sogar beim mehr als vierfach so hohen Wert von bis zu 30 pg/mg werde noch von moderatem Alkoholkonsum (Gelegenheitstrinker) ausgegangen. Von einer Alkoholsucht sei erst ab einem Wert von über 30 pg/mg auszugehen. Ein Wert von 7 pg/mg attestiere eine Alkoholabstinenz. Es könne mitnichten davon ausgegangen werden, dass die Beschwerdeführerin nicht mehr in der Lage ist, Alkoholkonsum und Strassenverkehr ausreichend zu trennen (amtl. Bel. 1 Ziff. IV./8. – 12.).</w:t>
      </w:r>
    </w:p>
    <w:p>
      <w:r>
        <w:t>4.2 Nach Art. 16d Abs. 1 lit. b SVG wird einer Person der Führerausweis auf unbestimmte Zeit entzogen, wenn sie an einer Sucht leidet, welche die Fahreignung ausschliesst. Bestehen er- hebliche Zweifel an der Fahreignung einer Person, so kann der Führerausweis vorsorglich</w:t>
      </w:r>
    </w:p>
    <w:p>
      <w:r>
        <w:rPr>
          <w:b/>
        </w:rPr>
        <w:t>E. 10</w:t>
      </w:r>
    </w:p>
    <w:p>
      <w:r>
        <w:t>│ 16</w:t>
      </w:r>
    </w:p>
    <w:p>
      <w:r>
        <w:t>entzogen werden (Art. 30 der Verkehrszulassungsverordnung [VZV; SR 741.51]). Es handelt sich dabei um einen Sicherungsentzug, mit dem die Verkehrssicherheit gewährleistet werden soll (Urteil des Bundesgerichts 1C_362/2020 vom 14. Juni 2021 E. 2.3 f.). Der nach Art. 16d Abs. 1 SVG auf unbestimmte Zeit entzogene Lernfahr- oder Führerausweis kann bedingt und unter Auflagen wiedererteilt werden, wenn eine allfällige gesetzliche oder verfügte Sperrfrist abgelaufen ist und die betroffene Person die Behebung des Mangels nach- weist, der die Fahreignung ausgeschlossen hat (Art. 17 Abs. 3 SVG). Zum Nachweis wird bei Suchtkrankheiten in der Regel eine kontrollierte Abstinenz über eine gewisse Zeitspanne ver- langt. Die Auflage, während einer bestimmten Zeit ganz abstinent zu leben, steht in diesen Fällen in unmittelbarem Zusammenhang mit der Überwindung der Suchtkrankheit, welche die Fahreignung des Betroffenen beeinträchtigt. Der damit verbundene empfindliche Eingriff in den Persönlichkeitsbereich erscheint im Interesse der Verkehrssicherheit grundsätzlich ge- rechtfertigt (vgl. auch BGE 130 II 25 E. 3.2 S. 28 f.; Urteil des Bundesgerichts 1C_599/2019 vom 4. November 2020 E. 6.2). Bei Suchtkrankheiten kann die Wiedererteilung mit der Auflage verknüpft werden, wonach die Abstinenz weiter einzuhalten und über eine gewisse Zeit weiter ärztlich zu kontrollieren ist. Eine solche Auflage bezweckt, gewisse Bedenken an der Fahreignung auszuräumen, die bei der Wiedererteilung des Führerausweises noch bestehen. Vermag die betroffene Person in einem solchen Fall die mit der Wiedererteilung des Führerausweises auferlegte, ärztlich kon- trollierte Abstinenz nicht einzuhalten, ist ihr der Ausweis in Anwendung von Art. 17 Abs. 5 SVG wieder zu entziehen (vgl. BGE 140 II 334 E. 2 S. 336 f.; Urteil 1C_26/ 2011 vom 25. Juli 2011 E. 4.1; Urteil des Bundesgerichts 1C_599/2019 vom 4. November 2020 E. 6.2). Das Bundesgericht hat es nicht beanstandet, die Wiedererteilung grundsätzlich von einer dreijäh- rigen Totalabstinenz abhängig zu machen (Urteil 1C_342/2009 vom 23. März 2010 E. 2.4 mit Hinweis).</w:t>
      </w:r>
    </w:p>
    <w:p>
      <w:r>
        <w:t>4.3 Dem Bericht zur Haaranalyse des IRM-UZH vom 11. Mai 2022 (BF-Bel. 4) lässt sich entneh- men, dass im Haar der Beschwerdeführerin eine EtG-Konzentration von 7.0 pg/mg festgestellt wurde. Das IRM-UZH hat daraus einen moderaten Alkoholkonsum im zeitlichen Durchschnitt und somit eine Auflagenmissachtung abgeleitet. Die Beschwerdeführerin zweifelt zwar nicht den gemessenen Wert an, aber den Schluss auf einen moderaten Alkoholkonsum. Sie stellt sich auf den Standpunkt, nach bundesgerichtlicher Rechtsprechung seien EtG-Werte zwi- schen 2 und 7 pg/mg noch mit einer Abstinenz vereinbar.</w:t>
      </w:r>
    </w:p>
    <w:p>
      <w:r>
        <w:rPr>
          <w:b/>
        </w:rPr>
        <w:t>E. 11</w:t>
      </w:r>
    </w:p>
    <w:p>
      <w:r>
        <w:t>│ 16</w:t>
      </w:r>
    </w:p>
    <w:p>
      <w:r>
        <w:t>Das Bundesgericht hat im BGE 140 II 334 drei vorliegend relevante Aussagen getätigt. Zu- nächst hat es bestätigt, dass die bundesgerichtliche Rechtsprechung die Haaranalyse als ge- eignetes Mittel zum Nachweis eines übermässigen Alkoholkonsums als auch der Einhaltung einer Abstinenzverpflichtung anerkennt.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(BGE 140 II 334 E. 3 m.w.V). Weiter hat das Bundesgericht festgehalten, dass auf den ermittelten EtG-Wert abzustellen ist und sich bei Sicherungsentzügen ein Toleranzabzug von 25 Prozent nicht rechtfertige, da bei Sicherungsentzügen der Verfügungsbelastete die Alko- holabstinenz nachweisen müsse und nicht der Staat die Alkoholabhängigkeit (BGE 140 II 334 E. 6). Schliesslich stellt das Bundesgericht bei der Interpretation des EtG-Werts auf die Erläu- terungen «Bestimmung von Ethylglucuronid (EtG) in Haarproben» der Arbeitsgruppe Haar- analytik der Schweizerischen Gesellschaft für Rechtsmedizin SGRM (damals in der Version 2012) ab (BGE 140 II 334 E. 5 und 7). Die anschliessenden Erwägungen des Bundesgerichts, bis zu welchem EtG-Wert gestützt auf die Erläuterungen «Bestimmung von Ethylglucuronid (EtG) in Haarproben» noch von einer Abstinenz ausgegangen werden könne, sind unklar. Ins- besondere wird nicht eindeutig klar, ob bei einem Wert von 7 pg/mg noch von einer Abstinenz ausgegangen werden kann oder ob diesfalls schon von einem moderaten Alkoholkonsum aus- zugehen ist (vgl. BGE 140 II 334 E. 7). In späteren Bundesgerichtsentscheiden wurde auf diesen Entscheid Bezug genommen, ohne diesbezüglich Klarheit zu schaffen (vgl. exempla- risch Urteil des Bundesgerichts 1C_128/2020 vom 29. September 2020 E. 2.2). Nachdem das Bundesgericht auf die Erläuterungen «Bestimmung von Ethylglucuronid (EtG) in Haarproben» der SGRM abstützt, ist der ermittelte EtG-Werte danach einzuordnen. Der Erläuterung (in der aktuellen Version 2017, https://sgrm.ch/inhalte/Forensische-Chemie-und- Toxikologie/Fachgruppe_Toxikologie/EtG_FINAL_2017.pdf, zuletzt besucht am 17. Januar 2023) lässt sich zur Interpretation (Ziff. 6.2) folgende Tabelle entnehmen, auf die auch das IRM-UZH – in einer laienfreundlicheren Form – in seinem Bericht vom 11. Mai 2022 (vgl. BF- Bel. 4 Ziff. 2.3) abstützt:</w:t>
      </w:r>
    </w:p>
    <w:p>
      <w:r>
        <w:rPr>
          <w:b/>
        </w:rPr>
        <w:t>E. 12</w:t>
      </w:r>
    </w:p>
    <w:p>
      <w:r>
        <w:t>│ 16</w:t>
      </w:r>
    </w:p>
    <w:p>
      <w:r>
        <w:t>Daraus erschliesst sich, dass ein EtG-Wert unter 7 pg/mg keine Hinweise auf einen regelmäs- sigen relevanten Alkoholkonsum liefert. Hingegen spricht ein EtG-Wert der gleich oder grösser als 7 pg/mg aber kleiner als 30 pg/mg ist, für einen moderaten Alkoholkonsum. Die Interpreta- tion im Bericht des IRM-UZH, wonach bei einem EtG-Wert von 7 pg/mg nicht mehr von Absti- nenz, sondern von einem moderaten Alkoholkonsum auszugehen ist, entspricht somit den Vorgaben der SGRM, auf die nach bundesgerichtlicher Rechtsprechung abzustellen ist.</w:t>
      </w:r>
    </w:p>
    <w:p>
      <w:r>
        <w:t>4.4 Von diesem Ergebnis darf nach bundesgerichtlicher Rechtsprechung nur abgewichen werden, wenn die Glaubwürdigkeit des Bericht zur Haaranalyse des IRM-UZH vom 11. Mai 2022 (BF- Bel. 4) durch die Umstände ernsthaft erschüttert ist (BGE 132 II 257 E. 4.4.1; BGE 140 II 334 E. 3). Im Verwaltungsverfahren wollte die Beschwerdeführerin das Ergebnis mit dem Einsatz eines Haarfärbemittels erklären (BF-Bel. 6), worauf das IRM-UZH erklärte, das Resultat von</w:t>
      </w:r>
    </w:p>
    <w:p>
      <w:r>
        <w:rPr>
          <w:b/>
        </w:rPr>
        <w:t>E. 13</w:t>
      </w:r>
    </w:p>
    <w:p>
      <w:r>
        <w:t>│ 16</w:t>
      </w:r>
    </w:p>
    <w:p>
      <w:r>
        <w:t>IRM-UZH verneine, dass die Händedesinfektion zum EtG-Wert von 7.0 pg/mg geführt habe, verweise aber auf eine Studie, die lediglich höchstwahrscheinlich einen solchen Effekt ver- neine (amtl. Bel. 1 Ziff. IV./13 – 15). Auch diese Ausführungen der Beschwerdeführerin vermögen nicht zu überzeugen: Das IRM- UZH hat eine Schweizer Studie eingereicht, bei der die Haarproben von zehn Mitarbeitern im Gesundheitswesen untersucht wurden, die häufig alkoholhaltige Desinfektionsmittel verwen- den, aber keinen oder nur selten Alkohol trinken. Nur bei einem Mitarbeiter wurde ein mess- barer EtG-Wert von circa 2 pg/mg gemessen, der 60-70-mal an einem Arbeitstag die Hände mit alkoholhaltigem Desinfektionsmittel desinfiziert (BF-Bel. 1). Die Beschwerdeführerin hat nie dargetan, sich derart häufig die Hände zu desinfizieren. Dies dürfte im Lebensmittelbereich auch nicht nötig sein, zumal die Beschwerdeführerin nicht in der Produktion, sondern in der Spedition arbeitet (BF-Bel. 11). Auch ihr Arbeitgeber schreibt bloss davon, dass seine Mitar- beiterinnen «mehrmals täglich» die Hände desinfizieren müssten (BF-Bel. 11). Und selbst wenn sich die Beschwerdeführerin derart häufig die Hände desinfizieren würde, könnte damit nicht ein über dreimal höherer Wert erklärt werden. Auch diese Ausführungen sind damit nicht geeignet, die Glaubwürdigkeit des Berichtes zur Haaranalyse des IRM-UZH vom 11. Mai 2022 zu erschüttern.</w:t>
      </w:r>
    </w:p>
    <w:p>
      <w:r>
        <w:t>4.5 Die Beschwerdeführerin führt schliesslich aus, bei sämtlichen monatlichen Urinscreenings seit dem 15. Dezember 2020 habe kein Cannabis nachgewiesen werden können, weshalb ihre Aussagen zur Alkoholabstinenz als glaubhaft zu bewerten seien (amtl. Bel. 1 Ziff. IV./16.). Sie habe eine längst vergangene schwierige Lebenssituation aus eigener Kraft bewältigt, was das VSZ in keiner Weise berücksichtige (amtl. Bel. 1 Ziff. IV./17.). Sie sei auf den Führerausweis angewiesen, mit dem verfügten Entzug der Fahrberechtigung müsse der Beschwerdeführerin nun gekündigt werden, weil sie in der Spedition arbeite. Es sei absolut unverhältnismässig, unter diesen Umständen die Fahrberechtigung aufgrund eines einzelnen Laborbefunds zu ent- ziehen (amtl. Bel. 1 Ziff. IV./18.). Im Übrigen habe auch ihr Arbeitgeber keinerlei Anzeichen erblicken können, welche auf einen Alkoholkonsum der Beschwerdeführerin hätten schliessen lassen. Die Ausführung der täglichen Arbeit wäre unter regelmässigem Alkoholkonsum nicht möglich bzw. wäre von den Arbeitskollegen nicht unbemerkt geblieben (amtl. Bel. 1 Ziff. IV./19.).</w:t>
      </w:r>
    </w:p>
    <w:p>
      <w:r>
        <w:rPr>
          <w:b/>
        </w:rPr>
        <w:t>E. 14</w:t>
      </w:r>
    </w:p>
    <w:p>
      <w:r>
        <w:t>│ 16</w:t>
      </w:r>
    </w:p>
    <w:p>
      <w:r>
        <w:t>Nachdem entgegen der Ansicht der Beschwerdeführerin auf den Bericht zur Haaranalyse des IRM-UZH vom 11. Mai 2022 abzustellen ist, besteht für diese Argumente kein Raum. Selbst wenn sie aber zu berücksichtigen wären, vermöchten sie an der Schlussfolgerung nichts zu ändern. Aus der Cannabisabstinenz kann weder gefolgert werden, die Beschwerdeführerin sei auch alkoholabstinent, noch darauf, ihre diesbezüglichen Aussagen seien glaubhaft. Kündigt der Arbeitgeber der Beschwerdeführerin, wäre das zwar mit einer Härte für sie verbunden, trotzdem kann deswegen nicht vom Ergebnis der Haaranalyse und der schlüssigen Interpre- tation des IRM-UZH abgewichen werden, zumal durch den Sicherungsentzug die Verkehrssi- cherheit zu gewährleisten ist. Schliesslich ist es problemlos möglich, (moderat) Alkohol zu konsumieren, ohne dass der Arbeitgeber oder die Arbeitskollegen davon etwas mitbekommen. Die gegenteiligen Ausführungen der Beschwerdeführerin widersprechen der allgemeinen Le- benserfahrung.</w:t>
      </w:r>
    </w:p>
    <w:p>
      <w:r>
        <w:t>4.6 Der Bericht zur Haaranalyse des IRM-UZH vom 11. Mai 2022 geht von einem moderaten Al- koholkonsum der Beschwerdeführerin aus. Es liegen keine Umstände vor, welche die Glaub- würdigkeit dieses Berichts (ernsthaft) zu erschüttern vermögen. Somit hat die Beschwerdefüh- rerin die bei der Wiedererteilung der Fahrberechtigung mit Verfügung vom 2. Juni 2021 erlas- senen Auflagen missachtet (VSZ-act. 28). Das VSZ war folglich verpflichtet, ihr die Fahrbe- rechtigung wieder zu entziehen (vgl. Art. 17 Abs. 5 SVG). Die angefochtene Verfügung ist somit nicht zu beanstanden und die dagegen erhobene Beschwerde ist vollumfänglich abzu- weisen.</w:t>
      </w:r>
    </w:p>
    <w:p>
      <w:r>
        <w:t>5.</w:t>
      </w:r>
    </w:p>
    <w:p>
      <w:r>
        <w:rPr>
          <w:b/>
        </w:rPr>
        <w:t>E. 15</w:t>
      </w:r>
    </w:p>
    <w:p>
      <w:r>
        <w:t>│ 16</w:t>
      </w:r>
    </w:p>
    <w:p>
      <w:r>
        <w:rPr>
          <w:b/>
        </w:rPr>
        <w:t>E. 16</w:t>
      </w:r>
    </w:p>
    <w:p>
      <w:r>
        <w:t>│ 16</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