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32186 vom 23. Januar 2023</w:t>
      </w:r>
    </w:p>
    <w:p>
      <w:r>
        <w:t>NW Gerichte, 2023-01-23, DE</w:t>
      </w:r>
    </w:p>
    <w:p>
      <w:r>
        <w:rPr>
          <w:b/>
        </w:rPr>
        <w:t xml:space="preserve">Quelle: </w:t>
      </w:r>
      <w:r>
        <w:t>https://mcp.opencaselaw.ch/entscheid/nw_gerichte_32186</w:t>
      </w:r>
    </w:p>
    <w:p>
      <w:r>
        <w:t>FR: NW_GERICHTE 32186 du 23 janvier 2023</w:t>
      </w:r>
    </w:p>
    <w:p>
      <w:r>
        <w:t>IT: NW_GERICHTE 32186 del 23 gennaio 2023</w:t>
      </w:r>
    </w:p>
    <w:p>
      <w:pPr>
        <w:pStyle w:val="Heading2"/>
      </w:pPr>
      <w:r>
        <w:t>Regeste</w:t>
      </w:r>
    </w:p>
    <w:p>
      <w:r>
        <w:t>Führerausweisentzug (VA 22 13)</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Z.__ NW und hat gegen den Einspracheentscheid des VSZ vom 28. April 2022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w:t>
      </w:r>
    </w:p>
    <w:p>
      <w:r>
        <w:rPr>
          <w:b/>
        </w:rPr>
        <w:t>E. 1.3</w:t>
      </w:r>
    </w:p>
    <w:p>
      <w:r>
        <w:t>Die Beschwerde hat binnen 20 Tagen seit der Zustellung schriftlich und begründet zu erfolgen (Art. 12 Abs. 3 Vereinbarung VSZ). Die angefochtene Verfügung wurde am 29. April 2022 vom beschwerdeführerischen Rechts- vertreter entgegengenommen (BF-Bel. 1 und 2), womit die Beschwerde vom 18. Mai 2022 fristgerecht erfolgt ist. Die Beschwerde erfüllt die formellen Voraussetzungen, womit auf sie einzutreten ist.</w:t>
      </w:r>
    </w:p>
    <w:p>
      <w:r>
        <w:t>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w:t>
      </w:r>
    </w:p>
    <w:p>
      <w:r>
        <w:t>2.2 Der Beschwerdeführer wehrt sich dagegen, dass das VSZ ihm die Fahrberechtigung für zwölf Monate entzogen hat. Er rügt, das VSZ sei fälschlicherweise davon ausgegangen, dass seine</w:t>
      </w:r>
    </w:p>
    <w:p>
      <w:r>
        <w:rPr>
          <w:b/>
        </w:rPr>
        <w:t>E. 5</w:t>
      </w:r>
    </w:p>
    <w:p>
      <w:r>
        <w:t>│ 14</w:t>
      </w:r>
    </w:p>
    <w:p>
      <w:r>
        <w:t>Das VSZ hat dem Beschwerdeführer in der angefochtenen Verfügung den Führerausweis für zwölf Monate entzogen, womit er besonders berührt ist und ein schutzwürdiges Interesse an der Aufhebung oder Abänderung dieser Verfügung hat. Der Beschwerdeführer ist somit zur Beschwerde berechtigt.</w:t>
      </w:r>
    </w:p>
    <w:p>
      <w:r>
        <w:rPr>
          <w:b/>
        </w:rPr>
        <w:t>E. 5.1</w:t>
      </w:r>
    </w:p>
    <w:p>
      <w:r>
        <w:t>Nachdem die Geschwindigkeitsüberschreitung des Beschwerdeführers vom VSZ korrekt als schwere Widerhandlung im Sinne von Art. 16c Abs. 1 lit. a SVG beurteilt wurde, bleibt zu prüfen, ob es richtigerweise einen Ausweisentzug von zwölf Monaten verfügt hat.</w:t>
      </w:r>
    </w:p>
    <w:p>
      <w:r>
        <w:rPr>
          <w:b/>
        </w:rPr>
        <w:t>E. 5.2</w:t>
      </w:r>
    </w:p>
    <w:p>
      <w:r>
        <w:t>Der Beschwerdeführer führt dazu zusammengefasst aus, er sei beruflich im Aussendienst tä- tig. Bei einem Entzug der Fahrerlaubnis für zwölf Monate wäre seine berufliche Tätigkeit mas- siv gefährdet. Aufgrund seines fortgeschrittenen Alters wäre er gezwungen, sich frühpensio- nieren zu lassen, was eine Kürzung der Altersrente zur Folge hätte. Nach dem Grundsatz der Verhältnismässigkeit sei der berufliche Bedarf des Beschwerdeführers bei der Entscheidung über die Dauer des Entzuges seiner Fahrerlaubnis zu berücksichtigen (amtl. Bel. 1 Ziff. V./18; amtl. Bel. 8 Ziff. II./5 und 10; amtl. Bel. 15 Ziff. 4).</w:t>
      </w:r>
    </w:p>
    <w:p>
      <w:r>
        <w:rPr>
          <w:b/>
        </w:rPr>
        <w:t>E. 5.3</w:t>
      </w:r>
    </w:p>
    <w:p>
      <w:r>
        <w:t>Nach einer schweren Widerhandlung wird der Führerausweis für mindestens zwölf Monate entzogen, wenn in den vorangegangenen fünf Jahren der Ausweis einmal wegen einer schwe- ren Widerhandlung entzogen war (Art. 16c Abs. 2 lit. c SVG). Die Mindestentzugsdauer darf nicht unterschritten werden (Art. 16 Abs. 3 Satz 2 SVG). Dies gilt nach der bundesgerichtlichen Rechtsprechung auch bei einer Verletzung des verfassungsrechtlichen Beschleunigungsge- bots und auch bei Personen, die beruflich auf den Führerausweis angewiesen sind, selbst bei einem Berufschauffeur (Urteil BGE 135 II 138 E. 2.4; BGE 132 II 234 E. 2).</w:t>
      </w:r>
    </w:p>
    <w:p>
      <w:r>
        <w:rPr>
          <w:b/>
        </w:rPr>
        <w:t>E. 5.4</w:t>
      </w:r>
    </w:p>
    <w:p>
      <w:r>
        <w:t>Wie sich den Akten entnehmen lässt und vom Beschwerdeführer nicht bestritten wird, hat die- ser am 9. Februar 2018 eine schwere Widerhandlung gegen die Strassenverkehrsvorschriften im Sinne von Art. 16c Abs. 1 lit. b SVG (qualifizierte Atemalkoholkonzentration) begangen (VSZ-act. 1). Damit hat er innert fünf Jahren vor der vorliegend zu beurteilenden schweren Verkehrsregelverletzung bereits eine schwere Widerhandlung begangen, womit ihm der Füh- rerausweis in Anwendung von Art. 16 Abs. 2 lit. c SVG für mindestens zwölf Monate zu ent- ziehen ist. Diese Mindestdauer darf nicht unterschritten werden, auch nicht bei beruflicher An- gewiesenheit auf das Fahrzeug, womit die diesbezüglichen Vorbringen des Beschwerdefüh- rers irrelevant sind.</w:t>
      </w:r>
    </w:p>
    <w:p>
      <w:r>
        <w:rPr>
          <w:b/>
        </w:rPr>
        <w:t>E. 5.5</w:t>
      </w:r>
    </w:p>
    <w:p>
      <w:r>
        <w:t>Das VSZ war somit nicht nur berechtigt, sondern verpflichtet, dem Beschwerdeführer den Füh- rerausweis für (mindestens) zwölf Monate zu entziehen. Der angefochtene Entscheid ist auch diesbezüglich nicht zu beanstanden und die Beschwerde ist vollumfänglich abzuweisen.</w:t>
      </w:r>
    </w:p>
    <w:p>
      <w:r>
        <w:t>6.</w:t>
      </w:r>
    </w:p>
    <w:p>
      <w:r>
        <w:rPr>
          <w:b/>
        </w:rPr>
        <w:t>E. 6</w:t>
      </w:r>
    </w:p>
    <w:p>
      <w:r>
        <w:t>│ 14</w:t>
      </w:r>
    </w:p>
    <w:p>
      <w:r>
        <w:t>Geschwindigkeitsüberschreitung eine schwere Widerhandlung im Sinne von Art. 16c Abs. 1 lit. a SVG darstelle, während bei richtiger Betrachtungsweise von einer mittelschweren Wider- handlung im Sinne von Art. 16b Abs. 1 lit. a SVG auszugehen sei. Folglich sei ihm der Führerausweis nicht für zwölf, sondern für vier Monate zu entziehen (vgl. BF-Bel. 1). Nachfol- gend ist vorab zu klären, ob das VSZ die Begründungspflicht verletzt hat, wie der Beschwer- deführer sinngemäss geltend macht (nachfolgend: E. 3). Danach ist zunächst die Schwere der Widerhandlung des Beschwerdeführers zu prüfen (nachfolgend: E. 4) und in der Folge darüber zu befinden, ob es korrekt war, dass das VSZ einen Führerausweisentzug von zwölf Monaten verfügt hat (nachfolgend: E. 5).</w:t>
      </w:r>
    </w:p>
    <w:p>
      <w:r>
        <w:t>3. 3.1 Der Beschwerdeführer macht geltend, die von der Rechtsprechung entwickelte Schematisie- rung bei Geschwindigkeitsüberschreitungen würden die rechtsanwendenden Behörden nicht davon dispensieren, die konkreten Umstände des Einzelfalles zu berücksichtigen. Das VSZ habe die vom Beschwerdeführer vorgebrachten konkreten Umstände ignoriert. Es sei unter anderem mit keinem Wort auf die Begebenheiten vor Ort eingegangen, womit die Begründung nicht nur mangelhaft und an Willkür grenzend, sondern auch bundesrechtswidrig sei (amtl. Bel. 1 Ziff. V./5 ff.; amtl. Bel. 8 ad zu Ziff. 4). Damit macht er zumindest sinngemäss geltend, das VSZ habe die Begründungspflicht und damit seinen Anspruch auf rechtliches Gehör ver- letzt.</w:t>
      </w:r>
    </w:p>
    <w:p>
      <w:r>
        <w:t>3.2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w:t>
      </w:r>
    </w:p>
    <w:p>
      <w:r>
        <w:rPr>
          <w:b/>
        </w:rPr>
        <w:t>E. 6.1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Gerichtskosten für das vorliegende Verfahren werden auf Fr. 2'000.‒ festgesetzt und dem unterliegenden Beschwerdeführer auferlegt. Sie werden mit seinem Kostenvorschuss von Fr. 1'500.‒ verrechnet und sind in diesem Umfang bezahlt. Der Beschwerdeführer wird angewiesen, die Restanz von Fr. 500.‒ innert 30 Tagen nach Rechtskraft des vorliegenden Entscheids an die Gerichtskasse Nidwalden zu bezahlen.</w:t>
      </w:r>
    </w:p>
    <w:p>
      <w:r>
        <w:rPr>
          <w:b/>
        </w:rPr>
        <w:t>E. 6.3</w:t>
      </w:r>
    </w:p>
    <w:p>
      <w:r>
        <w:t>Der unterliegende Beschwerdeführer hat keinen Anspruch auf eine Parteientschädigung.</w:t>
      </w:r>
    </w:p>
    <w:p>
      <w:r>
        <w:t>Den am Verfahren beteiligten Gemeinwesen wird in der Regel keine Parteientschädigung zu- gesprochen (Art. 123 Abs. 4 VRG). Das VSZ obsiegt im Rahmen seiner amtlichen Tätigkeit, weshalb der Beschwerdeführer dem VSZ keine Parteientschädigung zu bezahlen hat.</w:t>
      </w:r>
    </w:p>
    <w:p>
      <w:r>
        <w:rPr>
          <w:b/>
        </w:rPr>
        <w:t>E. 7</w:t>
      </w:r>
    </w:p>
    <w:p>
      <w:r>
        <w:t>│ 14</w:t>
      </w:r>
    </w:p>
    <w:p>
      <w:r>
        <w:t>3.3 Das VSZ setzt sich in den Randziffern 9 – 16 des angefochtenen Entscheids mit den Ausfüh- rungen des Beschwerdeführers auseinander (VSZ-act. 14). Dass es nicht auf jedes einzelne Argument des Beschwerdeführers im Detail eingeht, ist nach der vorstehend dargelegten bun- desgerichtlichen Rechtsprechung nicht zu beanstanden. Das VSZ hat im angefochtenen Ent- scheid in den wesentlichen Punkten aufgezeigt, weshalb es die Einsprache abgewiesen hat. Der Beschwerdeführer war überdies problemlos in der Lage, den vorinstanzlichen Entscheid anzufechten.</w:t>
      </w:r>
    </w:p>
    <w:p>
      <w:r>
        <w:t>3.4 Das VSZ hat die Begründungspflicht und damit das rechtliche Gehör des Beschwerdeführers nicht verletzt, womit die Beschwerde diesbezüglich abzuweisen ist.</w:t>
      </w:r>
    </w:p>
    <w:p>
      <w:r>
        <w:t>4. 4.1 Der Beschwerdeführer bestreitet nicht, dass er innerorts die signalisierte Höchstgeschwindig- keit von 60 km/h um 36 km/h (nach Abzug der Toleranz) überschritten und damit eine grobe Verkehrsregelverletzung nach Art. 90 Abs. 2 SVG begangen hat (vgl. amtl. Bel. 1 Ziff. IV./1. ff.). Er stellt sich aber auf den Standpunkt, dass es sich dabei nicht um eine schwere, sondern um eine mittelschwere Widerhandlung gegen die Strassenverkehrsvorschriften han- delt und deshalb ein Führerausweisentzug von vier Monaten angemessen sei. Damit eine schwere Widerhandlung im Sinne von Art. 16c Abs. 1 lit. a SVG vorliege, müsse kumulativ eine ernstliche Gefahr für die Sicherheit anderer geschaffen worden sein und ande- rerseits ein schweres Verschulden vorliegen. Beide Voraussetzungen seien nicht erfüllt. Abgesehen von dem zu überholenden Motorfahrzeug seien keine weiteren Verkehrsteilneh- mer unterwegs gewesen. Die befahrene Lötschbergstrasse sei eine gerade, breite und äus- serst übersichtliche Strecke ohne jegliche Hindernisse. Dem Beschwerdeführer wäre es mög- lich gewesen, frühzeitig die allfällig einbiegenden Motorfahrzeuge zu erkennen. Beim Überhol- manöver habe der Beschwerdeführer genügend Abstand zum überholenden Fahrzeug gehal- ten und die Geschwindigkeitsüberschreitung sei nur von kurzer Dauer gewesen. Der Be- schwerdeführer sei seit mehreren Jahrzehnten beruflich mit dem Auto unterwegs und verfüge über eine gewisse Erfahrung, um Gefahren ein- und abschätzen zu können. Überdies hätten zum Tatzeitpunkt gute Witterungs- und Sichtverhältnisse geherrscht und das</w:t>
      </w:r>
    </w:p>
    <w:p>
      <w:r>
        <w:rPr>
          <w:b/>
        </w:rPr>
        <w:t>E. 8</w:t>
      </w:r>
    </w:p>
    <w:p>
      <w:r>
        <w:t>│ 14</w:t>
      </w:r>
    </w:p>
    <w:p>
      <w:r>
        <w:t>Verkehrsaufkommen sei sehr gering gewesen. Insbesondere seien weder Gegenverkehr noch schwächere Verkehrsteilnehmer unterwegs gewesen. Unter diesen Umständen könne nicht von einer konkreten oder erhöhten abstrakten Gefährdung anderer Personen ausgegangen werden, womit keine ernstliche Gefahr und damit kein schwerer Fall nach Art. 16c Abs. 1 lit. a SVG vorgelegen habe. Was das Verschulden betreffe, sei dem Beschwerdeführer lediglich ein leichtes Verschulden respektive eine unbewusste Fahrlässigkeit vorzuwerfen. Er sei sich der Signalisation von 60 km/h nicht bewusst gewesen und habe zu keinem Zeitpunkt realisiert, dass er sich in einer 60 km/h-Zone befunden habe. Er sei vielmehr davon ausgegangen, dass er sich ausserorts in einer 80 km/h-Zone bewege. Er habe das Dorf Kandergrund, in dem die signalisierte Höchst- geschwindigkeit 50 km/h gegolten habe, befahren und von Weitem eine Geschwindigkeitstafel gesehen. Diese Geschwindigkeitstafel habe sich sodann zwischen zwei einzelnen, durch eine grossflächige Wiese getrennte und auf der rechten Strassenseite stehenden Gebäuden be- funden. Dieses Strassenbild könne bei einem Verkehrsteilnehmer den nachvollziehbaren Ein- druck erwecken, sich ausserhalb oder mindestens am Ausgang einer Ortschaft zu befinden. Da die Lötschbergstrasse überdies eine gut ausgebaute und übersichtliche Strasse sei, sei für den Beschwerdeführer absolut klar gewesen, dass er sich im Zeitpunkt des Überholmanövers in einer 80 km/h-Zone befunden habe. Während des Überholvorgangs habe das zu überho- lende Fahrzeug seine Geschwindigkeit ebenfalls erhöht. Der Beschwerdeführer habe dies in seiner ersten Einvernahme nicht erwähnt, weil er sich nicht mehr an jedes Detail dieses Ereig- nisses habe erinnern können. Er habe diesen Einwand aber in seiner Einvernahme geltend gemacht. Dieses Beschleunigungsmanöver könne nicht unberücksichtigt bleiben, denn offen- sichtlich sei dessen Lenker ebenfalls davon ausgegangen, sich ausserorts oder zumindest am Ortseingang zu befinden. Dies verstärke die Annahme des Beschwerdeführers, sich in einer 80 km/h-Zone zu befinden. Angesichts dessen und unter Berücksichtigung der Witterungs- und Strassenverhältnisse könne das Verhalten des Beschwerdeführers lediglich als pflichtwid- rig unachtsam und nicht als rücksichtslos eingestuft werden, womit kein grobes Verschulden vorliege (amtl. Bel. 1 V./1. ff.; amtl. Bel. 8 Ziff. II. ff.; amtl. Bel. 15 Ziff. 1 ff.).</w:t>
      </w:r>
    </w:p>
    <w:p>
      <w:r>
        <w:t>4.2 Das Gesetz unterscheidet zwischen der leichten, mittelschweren und schweren Widerhand- lung (Art. 16a-c SVG). Gemäss Art. 16c SVG begeht eine schwere Widerhandlung, wer durch grobe Verletzung von Verkehrsregeln eine ernstliche Gefahr für die Sicherheit anderer hervor- ruft oder in Kauf nimmt (Abs. 1 lit. a). Die Annahme einer schweren Widerhandlung setzt</w:t>
      </w:r>
    </w:p>
    <w:p>
      <w:r>
        <w:rPr>
          <w:b/>
        </w:rPr>
        <w:t>E. 9</w:t>
      </w:r>
    </w:p>
    <w:p>
      <w:r>
        <w:t>│ 14</w:t>
      </w:r>
    </w:p>
    <w:p>
      <w:r>
        <w:t>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 regelverletzung ein rücksichtsloses oder sonst schwerwiegend verkehrswidriges Verhalten, d.h. ein schweres Verschulden, bei fahrlässiger Begehung grobe Fahrlässigkeit (BGE 131 IV 133 E. 3.2 S. 136 mit Hinweisen; Urteile des Bundesgerichts 1C_588/2015 vom 14. April 2016 E. 2.2; 1C_3/2015 vom 26. August 2015 E. 4.2; 1C_341/2017 vom 2. Oktober 2017 E. 2.1). Aus Gründen der Rechtsgleichheit hat das Bundesgericht für die Beurteilung von Geschwin- digkeitsüberschreitungen präzise Regeln aufgestellt. Unabhängig von den konkreten Umstän- den liegt ein objektiv schwerer Fall unter anderem dann vor, wenn die Geschwindigkeitsüber- schreitung 25 km/h innerorts, 30 km/h ausserorts oder 35 km/h auf einer Autobahn übersteigt. Als «innerorts» gelten nicht nur Strassen mit einer allgemeinen Höchstgeschwindigkeit von 50 km/h, sondern auch solche mit einem Geschwindigkeitslimit von 60 km/h.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 nen lassen, etwa wenn der Fahrer aus ernsthaften Gründen annahm, sich noch nicht oder nicht mehr in einer geschwindigkeitsbegrenzten Zone zu befinden. Andererseits sind die kon- kreten Umstände des Einzelfalles bei der Bemessung der Entzugsdauer zu berücksichtigen (Urteile des Bundesgerichts 1C_335/2011 vom 26. Oktober 2011 E. 2.2; 1C_83/2008 vom 16. Oktober 2008 E. 2; 1C_87/2016 vom 13. Juni 2016 E. 2.1.2; 6A.81/2006 vom 22. Dezem- ber 2006 E. 4.3; 6S.99/2004 vom 25. August 2004 E. 2). Die allgemeinen Höchstgeschwindigkeiten gelten unter günstigen Strassen-, Verkehrs- und Sichtverhältnissen (Art. 4a Abs. 1 der Verkehrsregelnverordnung vom 13. November 1962 [SR 741.11; VRV]). Günstige Strassen- und Verkehrsverhältnisse allein vermögen eine vom Schema abweichende Beurteilung von vornherein nicht zu rechtfertigen (Urteile des Bundes- gerichts 1C_710/2013 vom 7. Januar 2014 E. 2.6; 1C_404/2011 vom 16. März 2012 E. 3.3). Eine übersetzte Geschwindigkeit stellt gerade innerorts eine erhebliche Gefahr dar (Urteil des Bundesgerichts 1C_222/2008 vom 18. November 2008 E. 2.2.4; BGE 121 II 127 E. 4b).</w:t>
      </w:r>
    </w:p>
    <w:p>
      <w:r>
        <w:rPr>
          <w:b/>
        </w:rPr>
        <w:t>E. 10</w:t>
      </w:r>
    </w:p>
    <w:p>
      <w:r>
        <w:t>│ 14</w:t>
      </w:r>
    </w:p>
    <w:p>
      <w:r>
        <w:t>4.3 Der Beschwerdeführer hat unbestrittenermassen die geltende Höchstgeschwindigkeit von 60 km/h um 36 km/h (nach Abzug der Toleranz) überschritten. Der zuvor dargelegte bundes- gerichtliche Schematismus gilt auch bei sogenannten «atypischen» Innerortsstrecken, auf wel- chen innerorts eine Höchstgeschwindigkeit von 60 km/h zulässig ist (vgl. statt vieler: Urteil des Bundesgerichts 1C_464/2020 vom 16. März 2021 E. 3.4 m.w.H.), was der Beschwerdeführer auch nicht bestreitet. Nachdem der Beschwerdeführer somit innerorts die geltende Höchstge- schwindigkeit um über 25 km/h überschritten hat, ist nach der bundesgerichtlichen Rechtspre- chung grundsätzlich von einer schweren Widerhandlung gegen die Strassenverkehrsvorschrif- ten im Sinne von Art. 16c Abs. 1 lit. a SVG auszugehen.</w:t>
      </w:r>
    </w:p>
    <w:p>
      <w:r>
        <w:t>4.4 Allerdings sind nach der bundesgerichtlichen Rechtsprechung die Umstände des Einzelfalles insofern zu berücksichtigen, dass zu prüfen ist, ob besondere Umstände vorliegen, welche die Verkehrsregelverletzung weniger gravierend erscheinen lassen. Dies kann etwa der Fall sein, wenn der Fahrer aus ernsthaften Gründen annahm, sich noch nicht oder nicht mehr in der geschwindigkeitsbegrenzten Zone zu befinden. Soweit der Beschwerdeführer mit den angeblich günstigen Strassen-, Verkehrs- und Sichtver- hältnissen argumentiert, ist ihm entgegenzuhalten, dass diese allein nach bundesgerichtlicher Rechtsprechung eine vom Schema abweichende Beurteilung von vornherein nicht zu recht- fertigen vermögen (vgl. Urteile des Bundesgerichts 1C_710/2013 vom 7. Januar 2014 E. 2.6; 1C_404/2011 vom 16. März 2012 E. 3.3). Auch seine weiteren Vorbringen, wonach nicht von einer konkreten oder erhöhten abstrakten Gefährdung anderer Personen ausgegangen werden könne, kann nicht gefolgt werden: Der Beschwerdeführer war im Zeitpunkt der Geschwindigkeitsmessung – nach Abzug der Toleranz – mit 96 km/h unterwegs. Eine solche Geschwindigkeit bei einem Überholmanöver auf einer nicht richtungsgetrennten Strasse stellt für sich schon eine konkrete Gefahr für den Lenker des überholten Fahrzeugs dar. Überdies ist auf dem Radarbild (BF-Bel 4) ersichtlich, dass der Beschwerdeführer im Zeitpunkt der Geschwindigkeitsmessung soeben das Restaurant Fel- senberg passiert hatte. Im Aussenbereich dieses Restaurants befinden sich ein Parkplatz und ein Spielplatz. Zudem geht aus den vom Gericht erstellten Auszügen aus Google Street-View hervor (vgl. amtl. Bel. 14), dass vor und nach dem Messort mehrere Einfahrten in die vom Beschwerdeführer befahrene Lötschbergstrasse einmünden. Demnach hat er nicht nur für den überholten Lenker eine konkrete Gefahr geschaffen, sondern auch eine zumindest erhöhte</w:t>
      </w:r>
    </w:p>
    <w:p>
      <w:r>
        <w:rPr>
          <w:b/>
        </w:rPr>
        <w:t>E. 11</w:t>
      </w:r>
    </w:p>
    <w:p>
      <w:r>
        <w:t>│ 14</w:t>
      </w:r>
    </w:p>
    <w:p>
      <w:r>
        <w:t>abstrakte Gefahr für weitere Verkehrsteilnehmer und Passanten (vgl. zu den sich mit der ge- fahrenen Geschwindigkeit erhöhenden Aufprallgeschwindigkeiten: Urteil des Bundesgerichts 1C_222/2008 vom 18. November 2008 E. 2.2.4 m.w.H.). Der Beschwerdeführer hat mit seiner Geschwindigkeitsüberschreitung folglich eine ernstliche Gefahr für die Sicherheit anderer im Sinne von Art. 16c Abs. 1 lit. a SVG geschaffen. Der Beschwerdeführer hatte auch keine ernsthaften Gründe anzunehmen, er befinde sich nicht mehr «innerorts» respektive in einer auf 60 km/h begrenzten Zone. Sofern er die Ge- schwindigkeitsüberschreitung damit erklären will, er habe gemeint, die in Fahrtrichtung vor ihm befindliche Geschwindigkeitstafel sei eine 80 km/h-Tafel und er habe deshalb beschleunigt (vgl. amtl. Bel. 14 F. 3, 8 und 11) ist diese Argumentation – selbst wenn sie zutreffen sollte – unbehelflich. Dem Beschwerdeführer als nach eigenen Aussagen erfahrenem Autofahrer musste bewusst sein, dass die signalisierte Geschwindigkeit erst von der Stelle an gilt, wo das Signal steht (vgl. BGE 128 IV 30 E. 2 S. 33 f.). Selbst wenn er davon ausgegangen wäre, er befinde sich aufgrund der örtlichen Gegebenheiten am Ausgang einer Ortschaft und es komme eine Tafel, mit der die Höchstgeschwindigkeit auf 80 km/h erhöht werde, hätte er mit der Be- schleunigung / dem Überholmanöver bis zu dieser Tafel zuwarten müssen. Auch das Fahrver- halten und ein angebliches Beschleunigen des zu überholenden Fahrzeugs ist in diesem Zu- sammenhang irrelevant. Der Beschwerdeführer kann seine massive Erhöhung der Geschwin- digkeit auf fast 100 km/h nicht darauf abstützen und damit erklären, dass ein anderer Fahr- zeuglenker «leicht beschleunigt» (vgl. amtl. Bel. 14 F. 12). Der Beschwerdeführer kannte über- dies die Fahrstrecke (amtl. Bel. 14 F. 5) und die signalisierte Höchstgeschwindigkeit war nicht nur vorübergehend herabgesetzt. Objektiv schützenswerte Gründe für die Geschwindigkeits- überschreitung sind weder ersichtlich noch dargetan. Das Verhalten des Beschwerdeführers ist deshalb als rücksichtslos zu beurteilen, womit auch die zweite Voraussetzung für eine schwere Widerhandlung nach Art. 16c Abs. 1 lit. a SVG vorliegt.</w:t>
      </w:r>
    </w:p>
    <w:p>
      <w:r>
        <w:t>4.5 Es war demnach rechtens, dass das VSZ die Geschwindigkeitsüberschreitung des Beschwer- deführers als schwere Widerhandlung gegen die Strassenverkehrsvorschriften im Sinne von Art. 16c Abs. 1 lit. a SVG beurteilt hat. Die Beschwerde ist auch diesbezüglich abzuweisen.</w:t>
      </w:r>
    </w:p>
    <w:p>
      <w:r>
        <w:rPr>
          <w:b/>
        </w:rPr>
        <w:t>E. 12</w:t>
      </w:r>
    </w:p>
    <w:p>
      <w:r>
        <w:t>│ 14</w:t>
      </w:r>
    </w:p>
    <w:p>
      <w:r>
        <w:t>5.</w:t>
      </w:r>
    </w:p>
    <w:p>
      <w:r>
        <w:rPr>
          <w:b/>
        </w:rPr>
        <w:t>E. 13</w:t>
      </w:r>
    </w:p>
    <w:p>
      <w:r>
        <w:t>│ 14</w:t>
      </w:r>
    </w:p>
    <w:p>
      <w:r>
        <w:rPr>
          <w:b/>
        </w:rPr>
        <w:t>E. 14</w:t>
      </w:r>
    </w:p>
    <w:p>
      <w:r>
        <w:t>│ 14</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