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REC.2009.68 vom 2. September 2010</w:t>
      </w:r>
    </w:p>
    <w:p>
      <w:r>
        <w:t>Ne Jurisprudence Adm, 2010-09-02, FR</w:t>
      </w:r>
    </w:p>
    <w:p>
      <w:r>
        <w:rPr>
          <w:b/>
        </w:rPr>
        <w:t xml:space="preserve">Quelle: </w:t>
      </w:r>
      <w:r>
        <w:t>https://mcp.opencaselaw.ch/entscheid/ne_jurisprudence_adm_REC.2009.68</w:t>
      </w:r>
    </w:p>
    <w:p>
      <w:r>
        <w:t>FR: NE_JURISPRUDENCE_ADM REC.2009.68 du 2 septembre 2010</w:t>
      </w:r>
    </w:p>
    <w:p>
      <w:r>
        <w:t>IT: NE_JURISPRUDENCE_ADM REC.2009.68 del 2 settembre 2010</w:t>
      </w:r>
    </w:p>
    <w:p>
      <w:pPr>
        <w:pStyle w:val="Heading2"/>
      </w:pPr>
      <w:r>
        <w:t>Regeste</w:t>
      </w:r>
    </w:p>
    <w:p>
      <w:r>
        <w:t>Cas dans lequel un automobiliste a obliqué à gauche sans observer, d'une part la signalisation sur la chaussée (flèche de direction), et d'autre part la signalisation lumineuse (flèche marquée sur ladite signalisation), qui l'obligeait à poursuivre tout droit ou à obliquer à droite. Ce faisant, l'intéressé n'a pas accordé la priorité à un autre véhicule qui circulait normalement dans l'autre sens. Infraction moyennement grave au sens de l'article 16b, alinéa 1, lettre a LCR, car faute et mise en danger moyennement grave. La durée du retrait de permis a été fixé au minimum légal, c'est-à-dire un mois.</w:t>
      </w:r>
    </w:p>
    <w:p>
      <w:pPr>
        <w:pStyle w:val="Heading2"/>
      </w:pPr>
      <w:r>
        <w:t>Volltext</w:t>
      </w:r>
    </w:p>
    <w:p>
      <w:r>
        <w:t>A.</w:t>
      </w:r>
    </w:p>
    <w:p>
      <w:r>
        <w:t>Selon le procès verbal de la police du 23 juillet 2009 puis de l'ordonnance pénale du 4 août 2009, M. A. (ci-après l'intéressé, respectivement le recourant) a circulé, au volant du véhicule immatriculé NE xxx, sur la rue de la Maladière en direction ouest. Arrivé à l'intersection avec la rue de Gibraltar, gérée par la signalisation lumineuse, il a obliqué à gauche pour se rendre vers le sud de la rue Gibraltar sans observer, d'une part la signalisation sur la chaussée (flèche de direction), et d'autre part la signalisation lumineuse (flèche marquée sur ladite signalisation), qui l'obligeait à poursuivre tout droit ou à obliquer à droite. Ce faisant, il n'a pas accordé la priorité au véhicule immatriculé NE yyy qui circulait normalement sur la rue de la Maladière en direction est.</w:t>
      </w:r>
    </w:p>
    <w:p>
      <w:r>
        <w:t>L'intéressé a été condamné au paiement d'une amende de Fr. 350.- et de Fr. 100.- de frais. Il ne s'est pas opposé à l'ordonnance pénale.</w:t>
      </w:r>
    </w:p>
    <w:p>
      <w:r>
        <w:t>B.</w:t>
      </w:r>
    </w:p>
    <w:p>
      <w:r>
        <w:t>Le 24 août mai 2009, le Service cantonal des automobiles et de la navigation (ci-après: SCAN) a signifié à l'intéressé par courrier qu'il ressortait du rapport que le recourant circulait au volant de la voiture NE xxx, qu'il n'a pas respecté une signalisation lumineuse en phase rouge et a mis en danger un véhicule prioritaire.</w:t>
      </w:r>
    </w:p>
    <w:p>
      <w:r>
        <w:t>Le SCAN a aussi informé qu'il risquait un retrait de permis ou un avertissement suite à son infraction et offrait la possibilité à celui-ci de s'exprimer conformément au droit d'être entendu.</w:t>
      </w:r>
    </w:p>
    <w:p>
      <w:r>
        <w:t>C.</w:t>
      </w:r>
    </w:p>
    <w:p>
      <w:r>
        <w:t>L'intéressé, par courrier du 27 août, s'excuse pour l'infraction commise. Il relève l'erreur du SCAN qui lui signifie qu'il n'a pas respecté la signalisation lumineuse en phase rouge alors que l'ordonnance pénale stipule d'autres faits (cités précédemment), qu'il reconnait d'ailleurs totalement.</w:t>
      </w:r>
    </w:p>
    <w:p>
      <w:r>
        <w:t>D.</w:t>
      </w:r>
    </w:p>
    <w:p>
      <w:r>
        <w:t>Par décision du 10 juin 2009, le SCAN a retiré, pour une durée d'un mois, le permis de conduire de l'intéressé. Il a qualifié l'infraction de moyennement grave au sens des art. 16b, al. 1, let. a, et al. 2, let. a de laloi fédérale du 19 décembre 1958 sur la circulation routière (ci-après LCR). Il a estimé en outre qu'un retrait fixé à un mois tenait compte de l'ensemble des circonstances et du besoin de l'intéressé de conduire.</w:t>
      </w:r>
    </w:p>
    <w:p>
      <w:r>
        <w:t>E.</w:t>
      </w:r>
    </w:p>
    <w:p>
      <w:r>
        <w:t>Par mémoire du 3 septembre 2009, l'intéressé défère cette décision devant le Département de la gestion du territoire. Il ne conteste pas l'infraction (art. 27, al. 1 LCR) mais relève que celle-ci doit être considérée comme légère (art. 16, al. 1, let. a LCR), autant la faute que la mise en danger. L'intéressé affirme avoir circulé à faible vitesse, sur une route qu'il ne connaissait pas, que la visibilité était bonne et qu'il a pris toutes les précautions nécessaires avant de tourner à gauche. De plus, le recourant dispose d'une réputation intacte depuis l'obtention de son permis en 1984.</w:t>
      </w:r>
    </w:p>
    <w:p>
      <w:r>
        <w:t>Dès lors qu'il remplit les conditions art. 16, al. 1, let. a LCR, le recourant conclut, sous suite de frais et dépens, à l'annulation de la décision attaquée et que la cause soit renvoyée au SCAN en ordonnant de prononcer un avertissement en lieu et place du retrait de permis.</w:t>
      </w:r>
    </w:p>
    <w:p>
      <w:r>
        <w:t>F.</w:t>
      </w:r>
    </w:p>
    <w:p>
      <w:r>
        <w:t>Dans ses observations du 13 août 2009, le SCAN conclut au rejet du recours, sous suite de frais. Il considère qu'il a fait preuve de mansuétude en considérant l'infraction moyennement grave au vu des faits, des photos et de la jurisprudence sur le sujet plus sévère dans le cas concret.</w:t>
      </w:r>
    </w:p>
    <w:p>
      <w:r>
        <w:t>G.</w:t>
      </w:r>
    </w:p>
    <w:p>
      <w:r>
        <w:t>Les autres éléments de fait seront repris, au besoin, dans la partie en droit de la présente décision.</w:t>
      </w:r>
    </w:p>
    <w:p>
      <w:r>
        <w:t>Considérant en droit:</w:t>
      </w:r>
    </w:p>
    <w:p>
      <w:r>
        <w:t>1.</w:t>
      </w:r>
    </w:p>
    <w:p>
      <w:r>
        <w:t>Le recours, déposé dans les formes et délai légaux, est déclaré recevable.</w:t>
      </w:r>
    </w:p>
    <w:p>
      <w:r>
        <w:t>2.</w:t>
      </w:r>
    </w:p>
    <w:p>
      <w:r>
        <w:t>2.1.</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(TF 5 décembre 2003, 6A.37/2003, consid. 2.2.2).</w:t>
      </w:r>
    </w:p>
    <w:p>
      <w:r>
        <w:t>2.2.</w:t>
      </w:r>
    </w:p>
    <w:p>
      <w:r>
        <w:t>Le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ATA 25.04.2006, réf. TA.2005.166, consid. 3b ; ATA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t>4.</w:t>
      </w:r>
    </w:p>
    <w:p>
      <w:r>
        <w:t>Le législateur conçoit l'article 16b, al. 1, let. a LCR comme l'élément de regroupement. Cette disposition n'est ainsi pas applicable aux infractions qui tombent sous le coup des art. 16a, al. 1 ou 16b, al. 1, let. a LCR. Dès lors, l'infraction est toujours considérée comme moyennement grave lorsque tous les éléments constitutifs qui permettent de la privilégier comme légère ou au contraire de la qualifier de grave ne sont pas réunis (ATF 135 II 138, consid. 2.2.2). Ainsi, une infraction moyennement grave est réalisée lorsque la mise en danger est légère et la faute est importante et aussi à l'inverse lorsque la faute est bénigne et la mise en danger est importante (ATF 135 II 138, consid. 2.2.3).</w:t>
      </w:r>
    </w:p>
    <w:p>
      <w:r>
        <w:t>5.</w:t>
      </w:r>
    </w:p>
    <w:p>
      <w:r>
        <w:t>Selon la doctrine, la mise en danger (abstraite accrue) légère représente le niveau de mise en danger qui caractérise désormais l'élément objectif de l'infraction légère du nouvel 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(TF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6.</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ch.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 Mizel, ibid p. 376 s et les références citées). Quant à la faute grave, elle peut prendre diverses formes qu'il n'est pas nécessaire de détailler ici.</w:t>
      </w:r>
    </w:p>
    <w:p>
      <w:r>
        <w:t>7.</w:t>
      </w:r>
    </w:p>
    <w:p>
      <w:r>
        <w:t>A titre de comparaison, le Tribunal fédéral a retenu comme des infractions graves au sens de l'art. 90 ch. 2 LCR un feu rouge non respecté (TF 14 mars 2003, 6P.153/2002 et 6S.466/2002, consid. 6 ; TF 8 décembre 2008, 6B.796/2008).</w:t>
      </w:r>
    </w:p>
    <w:p>
      <w:r>
        <w:t>8.</w:t>
      </w:r>
    </w:p>
    <w:p>
      <w:r>
        <w:t>Selon l'art. 27 al. 1 LCR, chacun se conformera aux signaux et aux marques ainsi quaux ordres de la police. Les signaux et les marques priment les règles générales; les ordres de la police ont le pas sur les règles générales, les signaux et les marques.</w:t>
      </w:r>
    </w:p>
    <w:p>
      <w:r>
        <w:t>9.</w:t>
      </w:r>
    </w:p>
    <w:p>
      <w:r>
        <w:t>9.1.</w:t>
      </w:r>
    </w:p>
    <w:p>
      <w:r>
        <w:t>Au vu des faits, des photos et de la jurisprudence, Le SCAN a considéré l'infraction moyennement grave, sans détailler la gravité de la faute et de la mise en danger.</w:t>
      </w:r>
    </w:p>
    <w:p>
      <w:r>
        <w:t>9.2.</w:t>
      </w:r>
    </w:p>
    <w:p>
      <w:r>
        <w:t>Le recourant a quant à lui relevé que la faute ainsi que la mise en danger devaient être considérées comme légères.</w:t>
      </w:r>
    </w:p>
    <w:p>
      <w:r>
        <w:t>9.3.</w:t>
      </w:r>
    </w:p>
    <w:p>
      <w:r>
        <w:t>En l'espèce, il n'existe aucun doute sur le fait que le recourant a violé les règles de la circulation routière, notamment l'art. 27, al. 1 LCR. Il n'a pas respecté la signalisation sur la chaussée (flèche de direction) et la signalisation lumineuse (flèche marquée sur la dite signalisation), qui l'obligeait à poursuivre tout droit ou à obliquer à droite. De plus, selon les photos au dossier, il est possible de voir très nettement la proximité de la voiture se dirigeant sur la rue de la Maladière direction est. Il n'a ainsi pas accordé la priorité au véhicule passant pourtant au feu vert. Il s'agit d'une manuvre particulièrement dangereuse qui aurait pu causer un accident au milieu de ce carrefour, heureusement évité en la circonstance. Ainsi, il convient de ne pas prendre cette erreur à la légère car cette négligence est grave. Le SCAN, en estimant qu'il s'agissait d'une infraction moyennement grave n'a pas abusé de son pouvoir d'appréciation. Il a même fait preuve de mansuétude car des infractions de ce type sont en général considérées comme graves par la jurisprudence du Tribunal fédéral (cf. op. cités). Il est tout bonnement impossible de considérer une mise en danger légère ou une faute légère dans cette situation car, afin de considérer une infraction comme légère, il faut que cumulativement la faute et la mise en danger soient légères. Or, le recourant a violé un devoir élémentaire de prudence et n'a absolument pas respecté la signalisation, ce qui constitue au minimum une faute moyennement grave. En effet, un conducteur normalement prudent et vouant toute son attention à la chaussée n'aurait pas effectué cette manuvre. De plus, la situation est relativement proche d'un accident au sens du Tribunal fédéral (cf. op. cités) ce qui constitue, en faisant preuve de clémence dans cette situation, comme une mise en danger moyennement grave. L'argument du recourant selon lequel celui-ci ne connaissait pas bien la route n'est pas pertinent car celui-ci aurait dû, de ce fait, circuler avec plus de prudence et vérifier les signaux avant d'obliquer à gauche. De plus, contrairement à ce qu'affirme le recourant, ce dernier n'a pas pris toutes les précautions nécessaires avant d'obliquer à gauche, les photos attestant la proximité de la voiture circulant en sens inverse. Le recourant a ainsi clairement créé un danger pour la sécurité d'autrui (art. 16b, al. 1, let. a LCR).</w:t>
      </w:r>
    </w:p>
    <w:p>
      <w:r>
        <w:t>9.4.</w:t>
      </w:r>
    </w:p>
    <w:p>
      <w:r>
        <w:t>On peut relever que le SCAN a fait preuve de clémence. En effet, si l'infraction avait été considérée comme grave, le retrait de permis aurait été au minimum de trois mois (art. 16c, al. 2, let. a) ce qui n'aurait pas été abusif en la circonstance.</w:t>
      </w:r>
    </w:p>
    <w:p>
      <w:r>
        <w:t>Le SCAN n'a ainsi aucunement fait preuve d'arbitraire dans le cas d'espèce et a usé correctement de son pouvoir d'appréciation.</w:t>
      </w:r>
    </w:p>
    <w:p>
      <w:r>
        <w:t>10.</w:t>
      </w:r>
    </w:p>
    <w:p>
      <w:r>
        <w:t>10.1.</w:t>
      </w:r>
    </w:p>
    <w:p>
      <w:r>
        <w:t>Après une infraction moyennement grave, le permis délève conducteur ou le permis de conduire est retiré pour un mois au minimum (art. 16b, al. 2, let. a).</w:t>
      </w:r>
    </w:p>
    <w:p>
      <w:r>
        <w:t>10.2.</w:t>
      </w:r>
    </w:p>
    <w:p>
      <w:r>
        <w:t>Ainsi, le SCAN, au vu de l'absence d'antécédents du recourant, a décidé de réduire la durée du retrait à un mois, ce qui constitue le minimum légal. Il est donc impossible d'un point de vue légal de prévoir une sanction moins élevée, le SCAN faisant une nouvelle fois preuve de clémence dans cette affaire.</w:t>
      </w:r>
    </w:p>
    <w:p>
      <w:r>
        <w:t>11.</w:t>
      </w:r>
    </w:p>
    <w:p>
      <w:r>
        <w:t>Compte tenu de ce qui précède, la décision querellée doit être confirmée et le recours rejeté sous suite de frais (art. 47, al. 1 LPJA). Vu le sort de la cause, il n'y a pas lieu d'allouer une indemnité de dépens (art. 48, al. 1 LPJA a contrario).</w:t>
      </w:r>
    </w:p>
    <w:p>
      <w:r>
        <w:t>12.</w:t>
      </w:r>
    </w:p>
    <w:p>
      <w:r>
        <w:t>Pour le surplus, le délai imparti au recourant pour déposer son permis de conduire étant échu, il appartiendra à la commission d'en fixer un nouveau.</w:t>
      </w:r>
    </w:p>
    <w:p>
      <w:r>
        <w:t>Par ces motifs, le conseiller d'Etat chef du Département de la gestion du territoire,</w:t>
      </w:r>
    </w:p>
    <w:p>
      <w:r>
        <w:t>décide:</w:t>
      </w:r>
    </w:p>
    <w:p>
      <w:r>
        <w:t>1.Le recours du 5 octobre 2009 de M.A.est rejeté;</w:t>
      </w:r>
    </w:p>
    <w:p>
      <w:r>
        <w:t>2.Un émolument de Fr. 500.- et des frais s'élevant à Fr. 50.- sont mis à la charge du recourant, montant compensé par l'avance de frais;</w:t>
      </w:r>
    </w:p>
    <w:p>
      <w:r>
        <w:t>3.Il n'est pas alloué de dépens.</w:t>
      </w:r>
    </w:p>
    <w:p>
      <w:r>
        <w:t>Neuchâtel, le 2 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