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DECI.2020.48 vom 16. März 2021</w:t>
      </w:r>
    </w:p>
    <w:p>
      <w:r>
        <w:t>Ne Jurisprudence Adm, 2021-03-16, FR</w:t>
      </w:r>
    </w:p>
    <w:p>
      <w:r>
        <w:rPr>
          <w:b/>
        </w:rPr>
        <w:t xml:space="preserve">Quelle: </w:t>
      </w:r>
      <w:r>
        <w:t>https://mcp.opencaselaw.ch/entscheid/ne_jurisprudence_adm_DECI.2020.48</w:t>
      </w:r>
    </w:p>
    <w:p>
      <w:r>
        <w:t>FR: NE_JURISPRUDENCE_ADM DECI.2020.48 du 16 mars 2021</w:t>
      </w:r>
    </w:p>
    <w:p>
      <w:r>
        <w:t>IT: NE_JURISPRUDENCE_ADM DECI.2020.48 del 16 marzo 2021</w:t>
      </w:r>
    </w:p>
    <w:p>
      <w:pPr>
        <w:pStyle w:val="Heading2"/>
      </w:pPr>
      <w:r>
        <w:t>Regeste</w:t>
      </w:r>
    </w:p>
    <w:p>
      <w:r>
        <w:t>Une réparation morale de 3'500 francs a été allouée à la victime de lésions corporelles simples (coups, étranglement), de mise en danger de la vie dautrui et de contrainte, lauteur ayant fait usage dun couteau. La victime a subi un stress post-traumatique ayant nécessité une prise en charge psychiatrique</w:t>
      </w:r>
    </w:p>
    <w:p>
      <w:pPr>
        <w:pStyle w:val="Heading2"/>
      </w:pPr>
      <w:r>
        <w:t>Volltext</w:t>
      </w:r>
    </w:p>
    <w:p>
      <w:r>
        <w:t>A.</w:t>
      </w:r>
    </w:p>
    <w:p>
      <w:r>
        <w:t>Par jugement du 22 juin 2020, le Tribunal criminel de La Chaux-de-Fonds a reconnu A., né le [..], coupable de lésions corporelles simples, de mise en danger de la vie dautrui, dinjures et de contrainte, infractions commises le 17 décembre 2018 à lendroit de son frère X., né le[..]. À cette occasion, alors que les deux intéressés se trouvaient au domicile de leur mère à B., A. a menacé son frère, notamment avec un chandelier puis un couteau alors quil était très énervé et, alors que ce dernier voulait quitter lappartement, il la attrapé et séré pour lempêcher de partir, il la saisi à la gorge et appuyé sur son cou jusquà quil soit au sol, maintenant la pression pendant plusieurs secondes. Le Tribunal a condamné pour ces faits A. à une peine de privative de liberté de 27 mois et ordonné une mesure institutionnelle au sens de larticle 59, alinéa 2 CP. Par ailleurs, il a condamné lauteur à verser 5'000 francs à X. à titre de réparation morale et 488 francs pour ses frais médicaux.</w:t>
      </w:r>
    </w:p>
    <w:p>
      <w:r>
        <w:t>B.</w:t>
      </w:r>
    </w:p>
    <w:p>
      <w:r>
        <w:t>Par demande de son mandataire du 15 juillet 2020, X. sollicite, en application de la LAVI, lallocation dune réparation morale de 5'000 francs ainsi que 488 francs pour ses frais médicaux (suivi psychiatrique). Il indique que son frère sen est pris physiquement à lui en létranglant et le frappant violemment dans les côtes. Il la en outre menacé dun couteau. À la suite de ces faits, il a dabord dû être hospitalisé en urgence et, sur le plan psychologique, il a été pris en charge au Centre durgence psychiatrique de La Chaux-de-Fonds. Il a dû être suivi régulièrement par un psychiatre en raison de ce quil a vécu.</w:t>
      </w:r>
    </w:p>
    <w:p>
      <w:r>
        <w:t>Dans sa demande complétée du 30 octobre 2020, le requérant invoque, à titre de dommage, un montant de 573 fr. 70 pour les frais médicaux qui nont pas ét.remboursés par son assurance-maladie. Il joint également un certificat du Dr C. du 29 octobre 2020, dont il ressort que X. est suivi dès février 2019 en raison de symptômes anxieux et dépressifs sur fond dun tableau clinique détat de stress post‑traumatique. Selon ce praticien, son patient a subi une agression au couteau en fin 2018 par son frère et a eu peur de mourir. Il présentait un état dhypervigilance avec remémoration fréquente de la scène de lagression, de linsomnie et des cauchemars. Il a été suivi pour état de stress post-traumatique et lévolution lui a semblé compliquée en raison de la dimension familiale de lagression.</w:t>
      </w:r>
    </w:p>
    <w:p>
      <w:r>
        <w:t>Compte tenu de linfraction dont il a été lobjet le 17 décembre 2018, il ne fait aucun doute que le requérant a qualité de victime au sens de la LAVI. Par ailleurs, il ressort du dossier pénal que lauteur de linfraction émarge aux services sociaux et quil nest dès lors pas en mesure dindemniser sa victime dans des délais raisonnables. Le principe de subsidiarité (art. 4 LAVI) étant respecté, il sera entré en matière sur la requête déposée par X.</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stabilisation avec attelle plâtrée et processus de guérison long et douloureux (Décision du 13 juin 2013 de l'Autorité LAVI BE, citée parBaumann/Anabitarte/Müller Gmünder, op. cit. p. 20).</w:t>
      </w:r>
    </w:p>
    <w:p>
      <w:r>
        <w:t>-Une réparation morale de1'000 francsa été allouée en application de la LAVI à une femme agressée dans un hôpital psychiatrique par un pensionnaire en état dirresponsabilité, qui l'a frappée, avec les mains et les pieds, au visage et sur le reste du corps. La victime a subi de nombreux hématomes ainsi qu'un stress post-traumatique ayant nécessité un suivi psychologique et un arrêt de travail (Décision du DEAS du 2 octobre 2017, DECI.2017.79).</w:t>
      </w:r>
    </w:p>
    <w:p>
      <w:r>
        <w:t>-Une réparation morale LAVI de1'500 francsa été octroyée à un homme victime d'une agression devant une discothèque. A cette occasion, il est venu en aide à l'un de ses amis qui se faisait rouer de coups alors qu'il était au sol et a à son tour reçu des coups qui ont conduit à son hospitalisation ; le département des urgences a diagnostiqué une fracture de la mandibule avec lésions dentaires associées, qui a nécessité son transfert en Hôpital universitaire pour une prise en charge chirurgicale. La victime a été opérée à deux reprises. (Décision du DEAS du 6 octobre 2014 en la cause B.).</w:t>
      </w:r>
    </w:p>
    <w:p>
      <w:r>
        <w:t>-Une réparation morale LAVI de4'000 francsa été allouée à un homme ayant reçu un coup de couteau dans le dos après avoir été aspergé de spray au poivre, par deux inconnus. La blessure (lésion corporelle grave ou tentative de meurtre) a touché les reins et le côlon, a provoqué une hémorragie de la paroi postérieure de l'abdomen, une infection et un danger de mort imminent, avec une semaine de soins hospitaliers, deux interventions chirurgicales, une interruption de travail de deux mois environ à 100%, ½ mois à 50%, des cicatrices bien visibles, un isolement social et des troubles du sommeil (indices de trafic de drogue) (Décision du 21 juillet 2011 de l'Autorité LAVI ZH,citée parBaumann/Anabitarte/Müller Gmünder, op. cit. p. 22, n° 33).</w:t>
      </w:r>
    </w:p>
    <w:p>
      <w:r>
        <w:t>-Une réparation morale LAVI de5'500 francsa été allouée à une femme qui a été frappée par un voisin au moyen d'un manche de pioche à coups redoublés et partout où il pouvait sans éviter la tête au point que le bois avait cassé. L'agresseur a continué a frappé alors que la victime était à terre et même lorsque la sur de celle-ci s'est interposée en faisant barrage avec son corps. La victime, qui a dû être hospitalisée durant 6 jours et opérée, a souffert de contusions au pouce droit, d'un traumatisme crânien avec plaie pariétale de six centimètres avec os à nu et d'une fracture multifragmentaire du cubitus gauche. Elle a été en incapacité de travail pendant un mois et a dû suivre un traitement psychothérapeutique. Si la Cour pénale a reconnu l'auteur coupable de lésions corporelles graves, elle a annulé le jugement du Tribunal de police, qui avait octroyé une réparation morale de 12'000 francs à la victime, en fixant ce montant à 8'000 francs "compte tenu du fait que les atteintes n'ont entraîné ni séquelles physiques durables ni séquelles psychiques durables et invalidantes". L'auteur a été condamné à une peine privative de liberté de 8 mois avec sursis (Décision du DEAS du 29 septembre 2014 en la cause R.).</w:t>
      </w:r>
    </w:p>
    <w:p>
      <w:r>
        <w:t>4.</w:t>
      </w:r>
    </w:p>
    <w:p>
      <w:r>
        <w:t>En lespèce, la victime a été menacée et agressée physiquement par son frère. Sa vie a été mise en danger. Si cette agression ne semble pas avoir laissé de séquelles physiques à la victime (celle-ci ne dépose aucun document médical à cet égard et nallègue par ailleurs pas avoir subi dincapacité de travail), un suivi sur le plan psychique a dû être mis en place ainsi que le confirment les certificats médicaux au dossier. Le contexte familial dans lequel lagression a eu lieu ne peut quaggraver le traumatisme psychique subi par la victime.</w:t>
      </w:r>
    </w:p>
    <w:p>
      <w:r>
        <w:t>Tout bien considéré, compte tenu de la gravité de linfraction, des conséquences de celle-ci, de la jurisprudence rendue en la matière et du rôle social de la LAVI, il sera alloué à X. une réparation morale de3500 francsen application de la LAVI.</w:t>
      </w:r>
    </w:p>
    <w:p>
      <w:r>
        <w:t>5.</w:t>
      </w:r>
    </w:p>
    <w:p>
      <w:r>
        <w:t>En ce qui concerne lindemnisation, les frais médicaux allégués par le requérant lui ont déjà été alloués par la justice pénale. Le montant requis, par573 fr. 70, découle du relevé de compte de son assurance-maladie. Ce montant lui sera donc alloué au titre dindemnisation.</w:t>
      </w:r>
    </w:p>
    <w:p>
      <w:r>
        <w:t>6.</w:t>
      </w:r>
    </w:p>
    <w:p>
      <w:r>
        <w:t>En résumé, il sera alloué à votre mandant, en application de la LAVI, une réparation morale de3'500 francsà laquelle sajoute la somme de573 fr. 70pour les frais médicaux, soit au total4'073 fr. 70.</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de3'500 francsainsi quun montant pour les frais médiaux de573 fr. 70, soit un montant total de4073 fr. 70est alloué à X., payable sur son compte [].</w:t>
      </w:r>
    </w:p>
    <w:p>
      <w:r>
        <w:t>2.La présente décision est rendue sans frais.</w:t>
      </w:r>
    </w:p>
    <w:p>
      <w:r>
        <w:t>3.Il n'est pas alloué de dépens.</w:t>
      </w:r>
    </w:p>
    <w:p>
      <w:r>
        <w:t>Neuchâtel, le 16 mars 2021</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