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DECI.2014.61 vom 29. September 2014</w:t>
      </w:r>
    </w:p>
    <w:p>
      <w:r>
        <w:t>Ne Jurisprudence Adm, 2014-09-29, FR</w:t>
      </w:r>
    </w:p>
    <w:p>
      <w:r>
        <w:rPr>
          <w:b/>
        </w:rPr>
        <w:t xml:space="preserve">Quelle: </w:t>
      </w:r>
      <w:r>
        <w:t>https://mcp.opencaselaw.ch/entscheid/ne_jurisprudence_adm_DECI.2014.61</w:t>
      </w:r>
    </w:p>
    <w:p>
      <w:r>
        <w:t>FR: NE_JURISPRUDENCE_ADM DECI.2014.61 du 29 septembre 2014</w:t>
      </w:r>
    </w:p>
    <w:p>
      <w:r>
        <w:t>IT: NE_JURISPRUDENCE_ADM DECI.2014.61 del 29 settembre 2014</w:t>
      </w:r>
    </w:p>
    <w:p>
      <w:pPr>
        <w:pStyle w:val="Heading2"/>
      </w:pPr>
      <w:r>
        <w:t>Regeste</w:t>
      </w:r>
    </w:p>
    <w:p>
      <w:r>
        <w:t>Une réparation morale LAVI de CHF 1'000.- a été octroyée à une dame de 72 ans victime d'un brigandage commis à son domicile par trois inconnus, qui se sont fait passer pour des ouvriers. La victime a été attachée et bâillonnée avant d'être libérée par des voisines. Elle a subi un stress post-traumatique et a dû suivre une psychothérapie.</w:t>
      </w:r>
    </w:p>
    <w:p>
      <w:pPr>
        <w:pStyle w:val="Heading2"/>
      </w:pPr>
      <w:r>
        <w:t>Volltext</w:t>
      </w:r>
    </w:p>
    <w:p>
      <w:r>
        <w:t>Vu les pièces du dossier, d'où ressortent les faits suivants:</w:t>
      </w:r>
    </w:p>
    <w:p>
      <w:r>
        <w:t>A.</w:t>
      </w:r>
    </w:p>
    <w:p>
      <w:r>
        <w:t>Le 7 novembre 2013, à Neuchâtel, trois inconnus en habit d'ouvrier ont pénétré dans l'appartement de X., née le [] 1941, au prétexte de vérifier sa salle de bains. Ils l'ont alors attachée sur le lit et bâillonnée. Alors que celle-ci criait, une serviette en tissu lui a été mise dans la bouche. Après avoir fouillé l'appartement, les trois malfrats ont emporté le coffre-fort de X. puis ont quitté les lieux. Elle a pu être libérée grâce à l'intervention de deux voisines qui l'ont entendu crier.</w:t>
      </w:r>
    </w:p>
    <w:p>
      <w:r>
        <w:t>La procédure pénale consécutive à la plainte déposée par X. n'a pas permis de découvrir l'identité des agresseurs.</w:t>
      </w:r>
    </w:p>
    <w:p>
      <w:r>
        <w:t>B.</w:t>
      </w:r>
    </w:p>
    <w:p>
      <w:r>
        <w:t>Par demande du 25 juillet 2014 adressée au Département de l'économie et de l'action sociale, X. sollicite le versement d'une réparation morale LAVI deCHF 3'000.-. Elle indique avoir été profondément marquée par cette agression à son domicile. Alors qu'elle était attachée et bâillonnée, elle avait de la peine à respirer et a eu peur de mourir. Dans la période qui a suivi, elle a été incapable de sortir seule et de dormir seule à son domicile. Elle était très angoissée, faisait des cauchemars et ne parvenait pas à penser à autre chose qu'à l'agression. Elle a dû suivre des séances de psychothérapie auprès de A., psychologue spécialiste en psychothérapie FSP.</w:t>
      </w:r>
    </w:p>
    <w:p>
      <w:r>
        <w:t>C.</w:t>
      </w:r>
    </w:p>
    <w:p>
      <w:r>
        <w:t>Selon le courrier du 8 juillet 2014 de ce dernier, qui a rencontré pour la première fois X. le 2 décembre 2013, l'évaluation clinique a permis de mettre en évidence la présence de reviviscences traumatiques, de phénomènes de flash-back, d'angoisses importantes, de cauchemars en lien avec l'événement, d'évitements externes et internes, de détresse psychique, d'hypervigilance ainsi qu'une thymie déprimée. Le praticien relève un état de stress post-traumatique nécessitant un traitement psychothérapeutique, lequel a consisté en sept séances de thérapie cognitive-comportementale et EMDR, la dernière séance ayant eu lieu le 28 avril 2014.</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 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 En l'espèce, la requérante a certes été malmenée physiquement mais elle n'a pas subi de lésions corporelles. Elle a toutefois été ligotée, bâillonnée et menacée. De plus, au vu des conséquences psychiques de l'infraction, il convient de reconnaître à la requérante la qualité de victime.</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           Une réparation morale LAVI deFrs 1'000.-a été accordée à une jeune femme agressée dans son appartement par deux inconnus qui avaient violemment frappé à sa porte et qui avaient pénétré de force chez elle lorsqu'elle avait ouvert, ceux-ci lui enserrant alors violemment le cou avant de la rouer de coups de pieds et de poings, l'un des agresseur demandant même à son complice "un couteau pour la percer", avant de lui voler son sac à main et de prendre la fuite; toute l'agression s'était en outre déroulée sous les yeux de la fille de la victime âgée de 8 ans. Il en était résulté des douleurs à la cuisse gauche, dans le dos, à la joue, à la cheville, ainsi qu'un volumineux hématome à la cuisse entraînant une boîterie, toutes blessures ayant induit une incapacité de travail de 3 semaines ainsi que des séquelles psychologiques non-négligeables (Décision du DFAS du 21 février 2007 en la cause C.).</w:t>
      </w:r>
    </w:p>
    <w:p>
      <w:r>
        <w:t>-           Une réparation morale LAVI deFrs 1'000.-a été octroyée à la tenancière d'un kiosque victime d'une agression à main armée sur son lieu de travail, infraction commise par deux inconnus qui s'étaient faits remettre le contenu de la caisse avant de disparaître. Il a été jugé que le fait que la victime ait été choquée postérieurement à l'agression au point de se trouver encore sous anti-dépresseurs huit mois après les faits, pour des troubles de sommeils et des idées obsessionnelles récurrentes en rapport avec l'agression, justifiait l'allocation d'une réparation morale (Décision du DFAS du 19 décembre 2002 en la cause C.).</w:t>
      </w:r>
    </w:p>
    <w:p>
      <w:r>
        <w:t>-           Une réparation morale LAVI deFrs 1'500.-.-a été octroyée à un employé de banque victime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 celle-ci s'était néanmoins bien remise par la suite. Le département a toutefois considéré que la durée de la séquestration du cas d'espèce et l'incertitude toujours menaçante d'un tel crime justifiait néanmoins, quand bien même les auteurs avaient été "très gentils" de l'aveu même de la victime  l'ayant laissé souper, regarder la TV de son choix, dormir, déjeuner, faire sa toilette, et lui ayant même a deux reprises "promis une petite liasse en remerciement de sa bonne collaboration" (sic), l'allocation d'une réparation morale (Décision du DFAS du 11 avril 2005 en la cause V.).</w:t>
      </w:r>
    </w:p>
    <w:p>
      <w:r>
        <w:t>-           Une réparation morale LAVI deFrs 2'500.-a été octroyée à une jeune femme victime d'une prise d'otage par deux hommes armés alors qu'elle rentrait chez elle, y trouvant alors son ami cadre d'un bureau de poste déjà lui-même pris en otage. Après une nuit, la victime fut entravée avec une chaîne métallique autour de la taille et un sac à dos sensé contenir de la dynamite pendant qu'un des agresseurs allait se faire remettre l'argent du coffre de la poste par son ami. Une fois l'argent remis, les agresseurs ont libéré la victime qui a pu regagner la poste et y retrouver son ami. Toutefois, le Juge d'instruction avait d'abord soupçonné la victime et son ami d'avoir imaginé toute l'histoire, les plaçant en détention préventive durant 27 jours. Il en était résulté un important traumatisme ayant notamment induit un changement professionnel, toutefois clairement dû au premier chef aux accusations portées contre elle et à l'incarcération subie, ainsi qu'à la publicité donnée par la presse à cette histoire, plutôt qu'à la prise en otage elle-même (Décision du DSAS du 5 août 2007 en la cause B.).</w:t>
      </w:r>
    </w:p>
    <w:p>
      <w:r>
        <w:t>-           Une réparation morale LAVI deFrs 4'000.-a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(Arrêt du Tribunal fédéral du 16 novembre 2005, affaire AG, 6P.78/2005 + 6S.225/2005).</w:t>
      </w:r>
    </w:p>
    <w:p>
      <w:r>
        <w:t>4.</w:t>
      </w:r>
    </w:p>
    <w:p>
      <w:r>
        <w:t>En l'espèce, la requérante a été victime d'un brigandage à son domicile de la part de trois inconnus. La victime n'a pas été blessée sur le plan physique. L'infraction a certes créé un traumatisme psychique important ainsi qu'en atteste la psychothérapie suivie à la suite des faits. La jurisprudence a toutefois rappelé que la souffrance consécutive à la peur de mourir n'est généralement prise en compte comme facteur d'augmentation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w:t>
      </w:r>
    </w:p>
    <w:p>
      <w:r>
        <w:t>5.</w:t>
      </w:r>
    </w:p>
    <w:p>
      <w:r>
        <w:t>Tout bien considéré, compte tenu de la gravité des faits, de la jurisprudence et du rôle social de la LAVI, il sera alloué à X. une réparation morale deCHF 1'000.-en application de la LAVI.</w:t>
      </w:r>
    </w:p>
    <w:p>
      <w:r>
        <w:t>6.</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1'000.-est allouée à X., payable sur le compte [].</w:t>
      </w:r>
    </w:p>
    <w:p>
      <w:r>
        <w:t>2.La présente décision est rendue sans frais.</w:t>
      </w:r>
    </w:p>
    <w:p>
      <w:r>
        <w:t>3.Il n'est pas alloué de dépens.</w:t>
      </w:r>
    </w:p>
    <w:p>
      <w:r>
        <w:t>Neuchâtel, le29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