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DECI.2011.48 vom 16. Dezember 2011</w:t>
      </w:r>
    </w:p>
    <w:p>
      <w:r>
        <w:t>Ne Jurisprudence Adm, 2011-12-16, FR</w:t>
      </w:r>
    </w:p>
    <w:p>
      <w:r>
        <w:rPr>
          <w:b/>
        </w:rPr>
        <w:t xml:space="preserve">Quelle: </w:t>
      </w:r>
      <w:r>
        <w:t>https://mcp.opencaselaw.ch/entscheid/ne_jurisprudence_adm_DECI.2011.48</w:t>
      </w:r>
    </w:p>
    <w:p>
      <w:r>
        <w:t>FR: NE_JURISPRUDENCE_ADM DECI.2011.48 du 16 décembre 2011</w:t>
      </w:r>
    </w:p>
    <w:p>
      <w:r>
        <w:t>IT: NE_JURISPRUDENCE_ADM DECI.2011.48 del 16 dicembre 2011</w:t>
      </w:r>
    </w:p>
    <w:p>
      <w:pPr>
        <w:pStyle w:val="Heading2"/>
      </w:pPr>
      <w:r>
        <w:t>Regeste</w:t>
      </w:r>
    </w:p>
    <w:p>
      <w:r>
        <w:t>Postière agressée par un inconnu masqué et armé d'un pistolet. Pas de véritable prise en charge médicale, ni incapacité de travail. Réparation morale de CHF 1'000.-.</w:t>
      </w:r>
    </w:p>
    <w:p>
      <w:pPr>
        <w:pStyle w:val="Heading2"/>
      </w:pPr>
      <w:r>
        <w:t>Volltext</w:t>
      </w:r>
    </w:p>
    <w:p>
      <w:r>
        <w:t>A.</w:t>
      </w:r>
    </w:p>
    <w:p>
      <w:r>
        <w:t>Selon le rapport de police du 12 avril 2007, le 30 mars 2007, vers 06h35, à La Chaux-de-Fonds, Mme A., buraliste postale de l'office de poste à la rue de la Charrière 20, a été agressée par un inconnu alors qu'elle sortait de son véhicule pour se rendre à son travail. Elle s'est retrouvée face à un individu qui portait un masque de carnaval et qui a pointé sur elle un revolver en lui disant: "venez, venez, on va discuter." Prise de panique, Mme A. est restée tétanisée dans sa voiture. Après avoir tenté de l'extraire du véhicule, l'individu, voyant qu'elle ne sortait pas, a pris la fuite en direction du stade de la Charrière. Malgré le signalement donné par Mme A. et les recherches policières qui s'en sont suivies, l'auteur de l'agression n'a pas été retrouvé.</w:t>
      </w:r>
    </w:p>
    <w:p>
      <w:r>
        <w:t>B.</w:t>
      </w:r>
    </w:p>
    <w:p>
      <w:r>
        <w:t>Dans sa demande d'indemnisation et de réparation morale LAVI du 17 février 2011, Mme A. indique qu'elle a été déstabilisée par l'agression dont elle a été victime. Bien qu'elle n'ait pas dû quitter son travail et consulter un médecin tout de suite, elle a dû suivre des séances d'acupuncture et faire l'acquisition d'un chien pour éviter de revivre une telle situation. Elle indique avoir revécu des situations de stress lors de certains contacts avec des tiers. Elle a suivi un traitement EMDR du 22 mai au 14 juillet 2009, ce qui lui a permis d'atténuer ses peurs et ses émotions.</w:t>
      </w:r>
    </w:p>
    <w:p>
      <w:r>
        <w:t>Par courrier du 10 octobre 2009, Mme C., spécialiste en psychothérapie FSP, qui a suivi l'intéressée depuis le 22 mai 2009, relève que Mme A. a peur lorsqu'elle voit arriver au guichet une personne qu'elle ne connaît pas, qu'elle est en hypervigilance dans son travail et même chez elle et qu'elle ressent constamment une sensation d'oppression dans la poitrine. Depuis cette agression, elle a l'impression d'avoir perdu sa combativité ainsi que sa confiance en soi. Le traitement EMDR semble avoir eu des effets bénéfiques sur sa patiente.</w:t>
      </w:r>
    </w:p>
    <w:p>
      <w:r>
        <w:t>Dans sa demande, Mme A. mentionne également avoir eu des problèmes de dents à la suite du choc émotionnel consécutif à l'agression qu'elle a subie. Dans son certificat médical du 11 novembre 2009, le Dr B., spécialiste en parodontologie, atteste avoir traité Mme A. entre le 20 novembre 1992 et le 8 novembre 1993 afin de stabiliser son état parodontal. A deux reprises, lors du décès de son père en 1997 et suite à l'agression qu'elle a subie en mars 2007, son état parodontal s'est dégradé. Selon le praticien, on constate souvent ce genre de récidive quand le patient subit des stress importants.</w:t>
      </w:r>
    </w:p>
    <w:p>
      <w:r>
        <w:t>Mme A. réclame le versement de Fr. 1'800.- pour l'acquisition d'un chien et les frais pour son entretien, Fr. 1'200.- pour la vaccination, pension etc. et Fr. 9'545.50 pour le traitement dentaire. Elle demande également le versement d'une réparation morale de Fr. 5'000.-.</w:t>
      </w:r>
    </w:p>
    <w:p>
      <w:r>
        <w:t>C.</w:t>
      </w:r>
    </w:p>
    <w:p>
      <w:r>
        <w:t>A la demande du service juridique, la requérante a déposé la décision de la SUVA du 11 avril 2011 sur la prise en charge du traitement dentaire qu'elle a subi. Selon l'avis du médecin-dentiste-conseil de la SUVA, il n'existe pas de causalité avérée ou probable entre l'agression du 30 mars 2007 et les lésions dentaires annoncées. En conséquence, la SUVA n'a pas alloué de prestations d'assurance pour ce traitement.</w:t>
      </w:r>
    </w:p>
    <w:p>
      <w:r>
        <w:t>Par courrier de son mandataire du 10 août 2011, la requérante a revu à la baisse ses prétentions et sollicite désormais, sur la base de la jurisprudence qu'elle cite, le versement d'une indemnité deFr. 2'500.-pour tort moral ainsi qu'une indemnisation deFr. 1'200.-correspondant aux frais d'entretien de son chien pour une année.</w:t>
      </w:r>
    </w:p>
    <w:p>
      <w:r>
        <w:t>D.</w:t>
      </w:r>
    </w:p>
    <w:p>
      <w:r>
        <w:t>Aux termes de l'article 1 LAVI, toute personne qui a subi, du fait d'une infraction, une atteinte directe à son intégrité physique, psychique ou sexuelle a droit au soutien prévu par la loi.</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Fr. 8'000.- (ATF réf. 1A.272/2004).</w:t>
      </w:r>
    </w:p>
    <w:p>
      <w:r>
        <w:t>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E.</w:t>
      </w:r>
    </w:p>
    <w:p>
      <w:r>
        <w:t>En l'espèce, même si la victime a, dans un premier temps, eu recours à des médecines dites "alternatives" (Shiatsu et acupuncture), elle s'est adressée à un psychothérapeute en mai 2009 puisqu'elle n'avait pas, selon les dires de la praticienne, "réussi à surmonter l'agression subie le 30 mars 2007." Le traumatisme subi par Mme A. est donc établi et, même si le cas revêt une gravité relative et se situe à la limite de l'intervention de la loi, il y a lieu de reconnaître à la demanderesse la qualité de victime.</w:t>
      </w:r>
    </w:p>
    <w:p>
      <w:r>
        <w:t>F.</w:t>
      </w:r>
    </w:p>
    <w:p>
      <w:r>
        <w:t>Aux termes de l'article 2 de l'ancienne LAVI (ici applicable, les faits s'étant produits sous l'ancien droit, cf. art. 48 LAVI), l'aide aux victimes comprend notamment l'indemnisation et la réparation morale.</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G.</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 1'000.-a été octroyée à la tenancière d'un kiosque victime d'une agression à main armée sur son lieu de travail,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de sommeil et des idées obsessionnelles récurrentes en rapport avec l'agression, justifiait l'allocation d'une réparation morale (Décision du DFAS du 11 avril 2005 en la cause V.).</w:t>
      </w:r>
    </w:p>
    <w:p>
      <w:r>
        <w:t>-Une réparation morale LAVI deFr. 1'500.a été octroyée à un employé de banque victime de brigandage et de séquestration d'une durée de 15 heures à son domicile, avant que les malfaiteurs ne l'obligent à se rendre à la banque avec eux et ne volent le contenu du coffre. Il en était résulté chez la victime un traumatisme ayant induit deux semaines d'incapacité de travail (Décision du DFAS du 19 décembre 2002 en la cause C.).</w:t>
      </w:r>
    </w:p>
    <w:p>
      <w:r>
        <w:t>-Une réparation morale LAVI deFr. 1'500.-a été octroyée à une caissière victime d'une agression à main armée sur son lieu de travail, commise par un inconnu cagoulé et ganté qui s'était fait remettre le contenu de la caisse avant de disparaître. La victime a été profondément choquée par l'agression au point de se trouver durant 2 ½ semaines en incapacité totale de travail (Décision du DFAS du 6 décembre 2002 en la cause F.).</w:t>
      </w:r>
    </w:p>
    <w:p>
      <w:r>
        <w:t>-Une réparation morale LAVI deFr.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victimes des intéressés et leur avait alloué une réparation morale LAVI pour les faits de séquestration et de maintien sous la menace durant le vol lui-même, tous les faits postérieurs n'entrant que marginalement en considération au niveau de la LAVI (Décision du DFAS du 26 février 2008 en la cause R. et du 2 novembre 2007 en la cause B.).</w:t>
      </w:r>
    </w:p>
    <w:p>
      <w:r>
        <w:t>-Une indemnité pour tort moral LAVI deFr. 3'000.-a été versée à une victime âgée d'un cambriolage perpétré par trois inconnus, qui a été menacée, ligotée et bâillonnée (Décision de l'instance d'indemnisation LAVI GE du 29.11.2005, citée parConverset, op. cit, p. 400, n° 14).</w:t>
      </w:r>
    </w:p>
    <w:p>
      <w:r>
        <w:t>-Une réparation deFr. 500.-a été allouée à la vendeuse d'un magasin de chaussures dont un inconnu au visage caché par un foulard a exigé qu'elle lui remette le contenu de la caisse, lequel a fini par quitter les lieux en important une tirelire et en menaçant la vendeuse. L'auteur a été condamné à un travail d'intérêt général pour brigandage (décision du DSAS du 11 novembre 2010 en la cause F.).</w:t>
      </w:r>
    </w:p>
    <w:p>
      <w:r>
        <w:t>-Une indemnité LAVI pour tort moral deFr. 3'000.-a été allouée à une employé de maison, victime d'un cambriolage, qui a été bâillonnée et ligotée avant d'être enfermée dans les toilettes. Sur le plan civil, la victime s'est vu allouer une indemnité pour tort moral deFr. 5'000.-(décision du DSAS du 20 juin 2011 en la cause F.).</w:t>
      </w:r>
    </w:p>
    <w:p>
      <w:r>
        <w:t>H.</w:t>
      </w:r>
    </w:p>
    <w:p>
      <w:r>
        <w:t>En l'espèce, la victime a subi un traumatisme psychique du fait d'avoir été agressée par un homme masqué et, surtout, armé. Toutefois les troubles rencontrés par Mme A. n'ont pas nécessité une prise en charge médicale autre que les cinq séances EMDR suivies auprès de Mme C. La victime n'a pas non plus subi d'incapacité de travail. Le montant réclamé de Fr. 5'000.- paraît ainsi clairement trop élevé, compte tenu de la jurisprudence en la matière et du but poursuivi par la LAVI. Tout bien considéré, l'autorité de céans versera une réparation morale globale deFr. 1'000.-,intérêts compris, à la requérante.</w:t>
      </w:r>
    </w:p>
    <w:p>
      <w:r>
        <w:t>S'agissant du droit à l'indemnisation, le dommage allégué doit être en relation de causalité naturelle et adéquate avec l'infraction. La causalité naturelle présuppose que l'infraction soit la conditionsine qua nondu dommage. Le Tribunal fédéral a toutefois précisé qu'il ne s'agit pas d'en apporter la preuve scientifique absolue mais d'en prouver la vraisemblance de manière convaincante (ATF 1A. 252/2004 du 25 février 2005). Le dommage doit en outre être en relation de causalité adéquate avec l'infraction, c'est-à-dire être propre, selon le cours ordinaire des choses et l'expérience de la vie, à entraîner un résultat du genre de celui qui s'est produit (ATF 129 II 312).</w:t>
      </w:r>
    </w:p>
    <w:p>
      <w:r>
        <w:t>Dans le présent cas, ainsi que l'a retenu la SUVA, il n'est pas établi que les problèmes dentaires rencontrés par la requérante sont la conséquence directe de l'infraction subie par l'intéressée. Celle-ci avait déjà été traitée par le passé pour des problèmes parodontaux de sorte que les problèmes rencontrés en 2007 ne sauraient être pris en charge par l'instance LAVI. Il en va de même de l'acquisition d'un chien et des frais y relatifs dont le remboursement est sollicité par la requérante. Si la présence d'un chien peut s'avérer rassurante pour sa propriétaire, l'achat d'un animal de compagnie ou de défense ne constitue clairement pas un dommage au sens de la LAVI, qui porte uniquement sur les conséquences directes de l'acte délictueux. L'indemnisation telle que requise par la victime ne sera donc pas allouée.</w:t>
      </w:r>
    </w:p>
    <w:p>
      <w:r>
        <w:t>Par ces motifs, la conseillère d'Etat, cheffe du Département de la santé et des affaires sociales,</w:t>
      </w:r>
    </w:p>
    <w:p>
      <w:r>
        <w:t>décide:</w:t>
      </w:r>
    </w:p>
    <w:p>
      <w:r>
        <w:t>1.Une réparation morale LAVI deFr. 1'000.-est allouée à Mme A., payable sur le compte de la requérante;</w:t>
      </w:r>
    </w:p>
    <w:p>
      <w:r>
        <w:t>2.La requête est rejetée pour le surplus;</w:t>
      </w:r>
    </w:p>
    <w:p>
      <w:r>
        <w:t>3.La présente décision est rendue sans frais ni allocations de dépens.</w:t>
      </w:r>
    </w:p>
    <w:p>
      <w:r>
        <w:t>Neuchâtel, le 16 décembre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