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DECI.2011.40 vom 4. April 2012</w:t>
      </w:r>
    </w:p>
    <w:p>
      <w:r>
        <w:t>Ne Jurisprudence Adm, 2012-04-04, FR</w:t>
      </w:r>
    </w:p>
    <w:p>
      <w:r>
        <w:rPr>
          <w:b/>
        </w:rPr>
        <w:t xml:space="preserve">Quelle: </w:t>
      </w:r>
      <w:r>
        <w:t>https://mcp.opencaselaw.ch/entscheid/ne_jurisprudence_adm_DECI.2011.40</w:t>
      </w:r>
    </w:p>
    <w:p>
      <w:r>
        <w:t>FR: NE_JURISPRUDENCE_ADM DECI.2011.40 du 4 avril 2012</w:t>
      </w:r>
    </w:p>
    <w:p>
      <w:r>
        <w:t>IT: NE_JURISPRUDENCE_ADM DECI.2011.40 del 4 aprile 2012</w:t>
      </w:r>
    </w:p>
    <w:p>
      <w:pPr>
        <w:pStyle w:val="Heading2"/>
      </w:pPr>
      <w:r>
        <w:t>Regeste</w:t>
      </w:r>
    </w:p>
    <w:p>
      <w:r>
        <w:t>Opposition de particuliers propriétaires et voisins du plan cantonal d'exploitation des matériaux lacustres. La distance minimale d'extraction à la rive respecte les dispositions fédérales tant en matière de nuisances sonores qu'en matière de navigation.</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 octroyer par l'Etat de Neuchâtel une concession pour l'extraction de matériaux dans les zones de dragage suivantes: Z., X., Y., W. et V.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Entre le 28 janvier et le 4 février 2011, la personne mentionnée en tête de la présente a formé dans le délai légal opposition au PAC. Son argumentation peut se résumer de la façon suivante: les dragages ne sauraient être autorisés à moins de 300 mètres de la rive, conformément à la législation fédérale. Il convient dès lors selon elle de revoir le plan de zones de dragages. À son avis, le plan d'affectation ne permet pas d'assurer les limites de bruit admissible au regard des dispositions de l'ordonnance fédérale sur la protection contre le bruit (OPB). Pour cette raison aussi, le périmètre de la zone de dragage devrait être repoussé à une distance qui garantisse la limite sonore autorisée.</w:t>
      </w:r>
    </w:p>
    <w:p>
      <w:r>
        <w:t>C.</w:t>
      </w:r>
    </w:p>
    <w:p>
      <w:r>
        <w:t>Le 16 mars 2011, A. a déposé ses observations sur l'opposition précitée, concluant au rejet.</w:t>
      </w:r>
    </w:p>
    <w:p>
      <w:r>
        <w:t>Analysant l'article 11, alinéa 1 du plan cantonal d'exploitation des matériaux lacustres stipulant que la limite de dragage est arrêtée à 150 mètres par rapport la rive, l'entreprise constate que cette disposition est conforme à l'ordonnance fédérale sur la navigation intérieure et aux exigences du service cantonal des automobiles et de la navigation, qui considère comme zone riveraine intérieure le plan d'eau s'étendant jusqu'à 150 mètres de la rive et comme zone riveraine extérieure le plan d'eau s'étendant au-delà de la zone riveraine intérieure jusqu'à 300 mètres. Or, rien n'interdit l'exploitation de matériaux lacustres dans cette dernière zone.</w:t>
      </w:r>
    </w:p>
    <w:p>
      <w:r>
        <w:t>D.</w:t>
      </w:r>
    </w:p>
    <w:p>
      <w:r>
        <w:t>Le Département de la gestion du territoire (DGT) déposa ses observations le 22 mars 2011, en concluant au rejet des oppositions. Il s'est référé à l'étude d'impact, relevant que tous les services compétents avaient donné des préavis favorables. S'agissant de la localisation et de l'étendue des secteurs, il remarque que seuls les secteurs dans lesquels il y a des gisements pouvant être exploités de manière rentable ont été pris en compte. C'est le cadre qu'a offert la nature lors du dépôt des sédiments exploitables qui dicte le choix des sites. Quant à l'étendue des secteurs, le PAC les englobe tous de manière à délimiter précisément ceux qui pourraient faire l'objet de concession dans le futur. La vitesse des bateaux qui est limitée par une base légale n'entre pas en conflit avec les possibilités de dragage dans les secteurs concernés.</w:t>
      </w:r>
    </w:p>
    <w:p>
      <w:r>
        <w:t>E.</w:t>
      </w:r>
    </w:p>
    <w:p>
      <w:r>
        <w:t>Une séance de conciliation a eu lieu le 12 juillet 2011 en présence des opposants, de représentants du Conseil communal, A., des auteurs de l'étude d'impact sur l'environnement, du géologue cantonal, du service de l'aménagement du territoire, du service de l'énergie et de l'environnement et du service juridique de l'Etat, chargé de l'instruction des oppositions. Chaque partie a pu exprimer ses arguments, relatés dans le procès-verbal du 15 juillet 2011 et des réponses précises ont été apportées au sujet du PAC, des activités de dragage dans les environs de X., des horaires de ces dernières, du remblayage ou encore des questions relatives aux nuisances sonores.</w:t>
      </w:r>
    </w:p>
    <w:p>
      <w:r>
        <w:t>F.</w:t>
      </w:r>
    </w:p>
    <w:p>
      <w:r>
        <w:t>Dans le délai imparti pour formuler leurs observations sur le procès-verbal précité, un certain nombre d'opposants on déclaré retirer leur opposition, ce qui n'a pas été le cas de la partie à la présente cause.</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l'espèce, l'opposition, signée et motivée, a été formée pendant le délai de mise à l'enquête du plan d'affectation cantonal, de sorte qu'elle est recevable de ce point de vue. Il convient encore de déterminer si l'opposante a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L'opposante B. était propriétaire d'une parcelle à X. Selon la jurisprudence, la qualité pour recourir (ou pour s'opposer) est reconnue à celui qui subit les conséquences de la décision attaquée dans une mesure ou avec une intensité plus grande que quiconque. Tel est manifestement le cas du propriétaire ou du copropriétaire, ainsi que des membres d'une communauté héréditaire, de façon indépendante (RJN 2001 p. 275; RJN 1998 p. 271). Le décès de l'opposante en cours de procédure n'empêche pas l'autorité de statuer sur son opposition, qui n'a pas été retirée par les membres de l'hoirie. Elle est dès lors recevable.</w:t>
      </w:r>
    </w:p>
    <w:p>
      <w:r>
        <w:t>2.</w:t>
      </w:r>
    </w:p>
    <w:p>
      <w:r>
        <w:t>L'opposante estime qu'aucun dragage n'est possible dans les zones sises à moins de 300 mètres de la rive, en invoquant les nuisances sonores produites par l'activité des dragues au large de sa propriété.</w:t>
      </w:r>
    </w:p>
    <w:p>
      <w:r>
        <w:t>Dans son rapport sur l'aménagement selon l'article 47 OAT et rapport d'impact sur l'environnement, du 26 février 2010, les bureaux "C." et "D." exposent qu'à X., les matériaux actuellement exploités se situent sur les pentes du talus à des profondeurs de 50 mètres et plus. Les volumes estimés en 1986 ont déjà été largement dépassés par l'exploitation. Les estimations effectuées en 2006 indiquent des volumes maximums encore exploitables disponibles de l'ordre de 0,5 mios m3auxquels on doit soustraire les matériaux stériles de découverte, ce qui donne un volume utile de 0,45 mios m3pour une profondeur maximale de dragage de 98 mètrres (en comparaison, le site de Z. possède un potentiel exploitable de 15,6 mios m3(rapport précité p. 32). Lors de la séance de conciliation du 12 juillet 2011, le représentant du bureau "C." a confirmé que mis à part les travaux de remblayage, les dragages sur les sites des profils 1 à 12 sont terminés (PV de la séance, point 8 et plan AQ 29  08 10 1003). Ainsi, s'il est exact de prétendre que l'exploitation au large de X. est peu importante, elle n'est pas pour autant achevée.</w:t>
      </w:r>
    </w:p>
    <w:p>
      <w:r>
        <w:t>3.</w:t>
      </w:r>
    </w:p>
    <w:p>
      <w:r>
        <w:t>Il a y lieu d'examiner le grief selon lequel le règlement du plan d'affectation ne permet pas d'assurer le respect des limites de bruit admissibles au regard des dispositions de l'ordonnance fédérale du 15 décembre 1986 sur la protection contre le bruit (OPB).</w:t>
      </w:r>
    </w:p>
    <w:p>
      <w:r>
        <w:t>Dans son rapport sur l'aménagement selon l'article 47 OAT, les bureaux "C." et "D." font état des valeurs limites d'exposition fixées par l'annexe 6 de l'OPB pour le bruit de l'industrie et des arts et métiers. Après avoir identifié les sources de bruit (grappin, lâchage du contenu dans le silo, chargement du chaland, bruit du moteur, du crible et du câblage de la grue), des mesures ont été effectuées par le bureau E. dès le mois d'octobre 2009, en répertoriant dans le temps et l'espace à l'aide d'un GPS (Global Positionning System ou système de géo-localisation) les différentes phases d'exploitation et ce, afin de dresser une carte précise avec la position de la drague et les différentes mesures effectuées et de connaître ainsi les niveaux sonores des différentes phases d'exploitation. De cette façon, des distances minimales ont été calculées entre la drague "Odyssée" et les zones affectées en degré de sensibilité afin de respecter les exigences de l'OPB pour les bâtiments situés en degré de sensibilité DS I, DS II, et DS III. Pour la commune de X., la drague Odyssée ne saurait, selon la durée journalière d'exploitation s'approcher à moins de 260 mètres pour une durée de travail journalière moyenne de 5 heures et à 390 mètres pour une durée journalière moyenne de 12 heures en zone DS II, zone qui est applicable à la propriété de l'opposante. La valeur limite de 60 dBA applicable à cette zone est ainsi respectée (rapport cité, p. 48 à 52 et carte au 1:10'000 de X., degrés de sensibilités aux bruits et distances à respecter / Etude de bruits A2282 du 27 novembre 2009 du bureau E. p. 5).</w:t>
      </w:r>
    </w:p>
    <w:p>
      <w:r>
        <w:t>On ajoutera que des travaux d'insonorisation ont été entrepris au niveau de la drague "Odyssée" (pose d'un châssis métallique et de rideaux en caoutchouc) dont l'efficacité s'élève à 3 décibels. Enfin, l'article 22 du règlement du plan d'affectation cantonal stipule que les distances à respecter seront (s.e. encore) déterminées dans le cadre de l'octroi du plan d'exploitation et que lors du dragage à la limite riveraine des zones définies à l'article 7 (à savoir entre autres zones celle de X.), l'utilisation des dragues les plus silencieuses est requise.</w:t>
      </w:r>
    </w:p>
    <w:p>
      <w:r>
        <w:t>Le PAC a été établi sous le pilotage du SAT, en coordination avec le service cantonal de la protection de l'environnement et le service des ponts et chaussées. En principe, les questions de nature technique examinées par les services cantonaux spécialisés donnent lieu à préavis, qui sont assimilés dans une large mesure à des avis d'experts dont il y a lieu de s'écarter que pour des motifs convaincants (Arrêt du Tribunal fédéral 1C_314/2010, du 29 juin 2011). De tels motifs ne ressortent pas de l'opposition formée.L'argument avancé au sujet des nuisances sonores ne saurait en conséquence être prise en compte.</w:t>
      </w:r>
    </w:p>
    <w:p>
      <w:r>
        <w:t>4.</w:t>
      </w:r>
    </w:p>
    <w:p>
      <w:r>
        <w:t>L'opposante demande à ce que soit respectée la limite de dragage de 300 mètres, telle qu'elle résulte de la loi.</w:t>
      </w:r>
    </w:p>
    <w:p>
      <w:r>
        <w:t>Au terme de l'article 53, alinéa 1 de l'ordonnance sur la navigation dans les eaux suisses (ONI), du 8 novembre 1978, les bateaux à moteurs ne peuvent parcourir la zone riveraine intérieure que pour accoster ou partir, stationner ou franchir des passages étroits (lettre a); naviguer à une vitesse supérieure à 10 km/h dans les zones riveraines intérieures et extérieures (lettre b).</w:t>
      </w:r>
    </w:p>
    <w:p>
      <w:r>
        <w:t>Est considérée comme zone riveraine intérieure le plan d'eau s'étendant jusqu'à 150 mètres de la rive, comme zone riveraine extérieure le plan d'eau s'étendant au-delà de la zone riveraine intérieure jusqu'à une distance de 300 mètres, soit de la rive, soit des champs de végétation aquatique situées devant la rive ou des constructions édifiées dans l'eau.</w:t>
      </w:r>
    </w:p>
    <w:p>
      <w:r>
        <w:t>()</w:t>
      </w:r>
    </w:p>
    <w:p>
      <w:r>
        <w:t>Pour sa part, l'article 11, alinéa 1 du règlement du plan d'affectation cantonal indique que la limite de dragage est arrêtée à 150 mètres par rapport à la rive. Au large des plages publiques, cette limite est repoussée à 250 mètres, du 1erjuillet au 31 août. En comparant ces deux dispositions, on ne peut que constater que la réglementation du PAC ne contrevient pas aux dispositions fédérales en la matière: rien n'interdit en effet l'exploitation de matériaux lacustres dans une zone riveraine extérieure. Seule la vitesse de navigation est réglementée. Les mesures de minimisation des impacts figurant à l'article 22 du règlement du PAC (consid. 5 ci-dessus) renforcent la protection des habitations riveraines. On relèvera que dans les définitions qu'elle donne à l'article 2, l'ordonnance précitée désigne comme bateaux les engins flottants (1), ces derniers englobant les dragues (5). Le grief soulevé ne peut ainsi être retenu.</w:t>
      </w:r>
    </w:p>
    <w:p>
      <w:r>
        <w:t>En conclusion, l'opposition sera rejetée.</w:t>
      </w:r>
    </w:p>
    <w:p>
      <w:r>
        <w:t>5.</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 ,</w:t>
      </w:r>
    </w:p>
    <w:p>
      <w:r>
        <w:t>décide:</w:t>
      </w:r>
    </w:p>
    <w:p>
      <w:r>
        <w:t>1.L'opposition de Mme B. est levée.</w:t>
      </w:r>
    </w:p>
    <w:p>
      <w:r>
        <w:t>2.Il est statué sans frais</w:t>
      </w:r>
    </w:p>
    <w:p>
      <w:r>
        <w:t>3.Il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