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DECI.2010.40 vom 7. April 2011</w:t>
      </w:r>
    </w:p>
    <w:p>
      <w:r>
        <w:t>Ne Jurisprudence Adm, 2011-04-07, FR</w:t>
      </w:r>
    </w:p>
    <w:p>
      <w:r>
        <w:rPr>
          <w:b/>
        </w:rPr>
        <w:t xml:space="preserve">Quelle: </w:t>
      </w:r>
      <w:r>
        <w:t>https://mcp.opencaselaw.ch/entscheid/ne_jurisprudence_adm_DECI.2010.40</w:t>
      </w:r>
    </w:p>
    <w:p>
      <w:r>
        <w:t>FR: NE_JURISPRUDENCE_ADM DECI.2010.40 du 7 avril 2011</w:t>
      </w:r>
    </w:p>
    <w:p>
      <w:r>
        <w:t>IT: NE_JURISPRUDENCE_ADM DECI.2010.40 del 7 aprile 2011</w:t>
      </w:r>
    </w:p>
    <w:p>
      <w:pPr>
        <w:pStyle w:val="Heading2"/>
      </w:pPr>
      <w:r>
        <w:t>Regeste</w:t>
      </w:r>
    </w:p>
    <w:p>
      <w:r>
        <w:t>Indemnité pour tort moral LAVI de CHF 5'000.- allouée à un chauffeur de bus agressé par un passager. Traumatisme psychologique, arrêt de travail et hospitalisation. Différence entre indemnité civile et indemnité LAVI.</w:t>
      </w:r>
    </w:p>
    <w:p>
      <w:pPr>
        <w:pStyle w:val="Heading2"/>
      </w:pPr>
      <w:r>
        <w:t>Volltext</w:t>
      </w:r>
    </w:p>
    <w:p>
      <w:r>
        <w:t>A.</w:t>
      </w:r>
    </w:p>
    <w:p>
      <w:r>
        <w:t>Aux termes de l'arrêt du 21 juillet 2009 de la Chambre d'accusation, le 14 mars 2009, à La Chaux-de-Fonds, A, se sentant persécuté par un échange de regards avec B, qui officiait au moment des faits comme chauffeur de bus aux TRN, lui a demandé des comptes et l'a menacé au moyen d'un couteau, le conducteur tentant alors de lui saisir la main pour se défendre. Le chauffeur a été frappé au moyen d'un couteau a réitérées reprises, au niveau de la tête et de l'épaule droite, recevant de multiples lacérations (six coupures au cuir chevelu et une à l'épaule droite).</w:t>
      </w:r>
    </w:p>
    <w:p>
      <w:r>
        <w:t>Par décision du procureur du 18 juin 2009, A a été mis au bénéfice d'un non-lieu, au vu d'une expertise psychiatrique mentionnant l'existence de troubles graves affectant le psychisme de l'auteur qui, conjugués à la consommation de substances toxiques, avaient rendu l'intéressé incapable d'apprécier le caractère illicite de ses actes. Le procureur a simultanément transmis le dossier à la Chambre d'accusation en observant que, notamment au vu des endroits où les coups avaient été portés, les faits devaient être qualifiés de tentative de meurtre, d'injures et de menaces notamment.</w:t>
      </w:r>
    </w:p>
    <w:p>
      <w:r>
        <w:t>La Chambre d'accusation a ordonné un traitement institutionnel au sens de l'article 59 CP et un traitement des addictions au sens de l'article 60 CP contre A.</w:t>
      </w:r>
    </w:p>
    <w:p>
      <w:r>
        <w:t>Par mémoire de son mandataire du 30 avril 2010 adressé à l'autorité de céans, M. B demande, sur la base de la LAVI, l'allocation d'un montant de Fr. 10'000.- à titre de réparation du tort moral subi à la suite de l'infraction précitée. Il indique avoir dû, après les faits dont il a été victime, se rendre à l'hôpital de La Chaux-de-Fonds pour traiter ses blessures. Il a été en incapacité de travail à 100 % du 17 au 20 mars 2009 (cf. certificat d'incapacité de travail du 17 mars 2009 du Dr C.). A la suite de cette agression, M. B a été très affecté psychologiquement. Il redoute une nouvelle agression et n'exécute pas son travail l'esprit tranquille. Plus d'une année après les faits, il souffre encore de douleurs au niveau de l'épaule droite.</w:t>
      </w:r>
    </w:p>
    <w:p>
      <w:r>
        <w:t>Selon le certificat médical du 20 août 2010 du Dr. C., M. B a présenté, à la suite de l'agression précitée, un trouble anxieux dépressif réactionnel avec plusieurs troubles concernant surtout le comportement alimentaire, le trouble du sommeil, anxiété, asthénie, dysfonction sexuelle et stress permanant. Il suit actuellement un traitement médicamenteux avec persistance de stress post-traumatique et cauchemars.</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 Fr. 70'000.- pour la victime et Fr. 35'000.- pour ses proches.</w:t>
      </w:r>
    </w:p>
    <w:p>
      <w:r>
        <w:t>La doctrine et la jurisprudence exigent que l'atteinte justifiant une indemnité LAVI pour tort moral présente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civile deFr. 4'200.-a été octroyée à la victime de lésions corporelles graves avec danger de mort causées par l'introduction violente d'une lame de fer dans le ventre de la victime dans un contexte d'excès de légitime défense (art. 33, al. 2 CP; ATF du 5 septembre 2006, 6S.236/2006).</w:t>
      </w:r>
    </w:p>
    <w:p>
      <w:r>
        <w:t>   Une réparation morale LAVI deFr. 4'500.-a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 10'000.-  en tort moral pur par le juge pénal était aussi fondée sur moult autres infractions non-LAVI (Décision du DFAS du 2 décembre 2004 en la cause R.).</w:t>
      </w:r>
    </w:p>
    <w:p>
      <w:r>
        <w:t>   Une réparation morale LAVI deFr.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   Une réparation morale LAVI deFr.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   Une réparation morale civile de Fr. 10'000.- a été réduite àFr. 6'000.-par le Tribunal fédéral, montant alloué à la victime d'une prise d'otage par un malade mental qui avait agressé une vendeuse en lui plaçant un couteau de poche sur la gorge avant d'être maîtrisé par des clients. Plus de sept mois après les faits, la victime était encore totalement incapable de travailler, en état de stress post-traumatique et en dépression sévère. Néanmoins, le montant de Fr. 10'000.- alloué en première instance a été jugé "clairement trop élevé" (Arrêt du Tribunal fédéral du 24 avril 2008, affaire VD, 6B_135/2008).</w:t>
      </w:r>
    </w:p>
    <w:p>
      <w:r>
        <w:t>En l'espèce, l'infraction dont M. B a été victime est d'une gravité indéniable. Celui-ci a non seulement subi des lésions corporelles qui ont donné lieu à une hospitalisation et une incapacité de travail de trois jours mais il a également subi un traumatisme psychologique qui nécessite un suivi médicamenteux de la part de son médecin traitant. Toutefois, compte tenu de la jurisprudence en la matière (notamment le dernier arrêt cité ci-dessus) et du but poursuivi par la LAVI, l'indemnité réclamée de Fr. 10'000. est manifestement trop élevée. En effet, s'il n'est pas question de minimiser le traumatisme subi par la victime, celle-ci n'a subi qu'une très brève incapacité de travail et les répercussions psychiques de l'agression, qui n'ont pas nécessité de traitement psychiatrique, ne semblent pas excéder les inévitables séquelles prévisibles d'une telle agression.</w:t>
      </w:r>
    </w:p>
    <w:p>
      <w:r>
        <w:t>Tout bien considéré, l'autorité de céans allouera à M. B une indemnité LAVI pour tort moral deFr. 5'000.-sans intérêts (art. 28 LAVI). Ce montant sera versé sur le compte postal du demandeur N°17-410431-0, selon courrier du 31 mars 2011 de Me Schwab.</w:t>
      </w:r>
    </w:p>
    <w:p>
      <w:r>
        <w:t>Pour le surplus, il est statué sans frais ni allocation de dépens (art. 14 RELILAVI).</w:t>
      </w:r>
    </w:p>
    <w:p>
      <w:r>
        <w:t>Par ces motifs, la conseillère d'Etat, cheffe du Département de la santé et des affaires sociales,</w:t>
      </w:r>
    </w:p>
    <w:p>
      <w:r>
        <w:t>décide:</w:t>
      </w:r>
    </w:p>
    <w:p>
      <w:r>
        <w:t>1.Le montant deFr. 5'000.-est alloué à M. B à titre de réparation morale LAVI;</w:t>
      </w:r>
    </w:p>
    <w:p>
      <w:r>
        <w:t>2.Dite indemnité sera versée sur le compte postal *****;</w:t>
      </w:r>
    </w:p>
    <w:p>
      <w:r>
        <w:t>3.La présente décision est rendue sans frais;</w:t>
      </w:r>
    </w:p>
    <w:p>
      <w:r>
        <w:t>4.Il n'est pas alloué de dépens.</w:t>
      </w:r>
    </w:p>
    <w:p>
      <w:r>
        <w:t>Neuchâtel, le7 avril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