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TA.2010.78 vom 29. Juni 2010</w:t>
      </w:r>
    </w:p>
    <w:p>
      <w:r>
        <w:t>NE Tribunal cantonal, 2010-06-29, FR</w:t>
      </w:r>
    </w:p>
    <w:p>
      <w:r>
        <w:rPr>
          <w:b/>
        </w:rPr>
        <w:t xml:space="preserve">Quelle: </w:t>
      </w:r>
      <w:r>
        <w:t>https://mcp.opencaselaw.ch/entscheid/ne_gerichte_TA.2010.78</w:t>
      </w:r>
    </w:p>
    <w:p>
      <w:r>
        <w:t>FR: NE_GERICHTE TA.2010.78 du 29 juin 2010</w:t>
      </w:r>
    </w:p>
    <w:p>
      <w:r>
        <w:t>IT: NE_GERICHTE TA.2010.78 del 29 giugno 2010</w:t>
      </w:r>
    </w:p>
    <w:p>
      <w:pPr>
        <w:pStyle w:val="Heading2"/>
      </w:pPr>
      <w:r>
        <w:t>Erwägungen</w:t>
      </w:r>
    </w:p>
    <w:p>
      <w:r>
        <w:rPr>
          <w:b/>
        </w:rPr>
        <w:t>E. 7</w:t>
      </w:r>
    </w:p>
    <w:p>
      <w:r>
        <w:t>a) S'agissant de la notation du critère de l'organisation, et plus spécifiquement de l'élément d'appréciation disponibilité des moyens et des ressources, la recourante reproche à l'intimé d'avoir retenu qu'un bureau de trois personnes était insuffisant, pour divers motifs qu'elle expose. Elle critique aussi l'appréciation de l'intimé selon laquelle la disponibilité de ses ressources est très grande, mais disproportionnée avec le projet, grief qui n'aurait de sens que s'il se traduisait par un nombre d'heures trop important et, partant, un prix trop élevé. La recourante relève par ailleurs que l'intimé, tout en considérant que l'estimation des heures résultant de son offre est cohérente, retient que le coût moyen de 58 francs de l'heure est trop bas et peu crédible. Selon elle, cela revient à prendre en compte une seconde fois, dans le critère de l'organisation, le prix, lequel fait l'objet d'une notation distincte, ce qui est inadmissible. Elle expose au surplus les raisons pour lesquelles elle est en mesure d'exécuter le marché et indique pourquoi le prix qu'elle propose est justifié. Pour l'ensemble de ces motifs, elle invoque l'arbitraire dans la notation du critère de l'organisation. L'intimé a mentionné, dans le procès-verbal d'évaluation des offres, que l'estimation des heures par la recourante était cohérente, mais que le coût moyen estimé à 58 francs de l'heure était trop bas et peu crédible. Il a en outre relevé qu'un bureau de trois personnes était insuffisant et des lacunes en capacité de personnel. Dans ses observations sur le recours, il indique que l'offre de la recourante présente une différence considérable entre les heures prévues dans le planning des travaux et les heures chiffrées dans le tableau des honoraires, cette incohérence permettant de douter de ses capacités d'organisation. Il estime aussi que le nombre moyen de personnes qu'elle prévoit pour l'exécution du marché est disproportionné à la taille du bureau, qui ne compte que trois employés et relève une incertitude sur l'intervention de deux employés pour l'exécution du marché. L'intimé retient finalement que les autres soumissionnaires sont nettement mieux pourvus en personnel que la recourante, ce qui leur permettra d'assurer des suppléances en cas de besoin. Il en déduit que l'offre de cette dernière présente, au niveau organisationnel, moins de garanties que les autres bureaux. A la lecture de l'offre de la recourante, il apparaît effectivement qu'elle présente une différence entre les heures prévues dans le planning des travaux (annexe R6) et les heures chiffrées dans le tableau des honoraires selon coût des travaux, ainsi qu'une contradiction entre l'indication de sa capacité en personnel (annexe Q4) et celle de la planification des moyens (annexe R6), avec pour conséquence une incertitude s'agissant du nombre de personnes prévues pour l'exécution du marché. Il n'était pas arbitraire de la part de l'intimé de tenir compte de ces éléments. Pour le surplus, la position de l'intimé est totalement insoutenable. Le fait de retenir que le coût moyen de l'offre, estimé à 58 francs de l'heure, est trop bas et peu crédible revient en fait à tenir compte une deuxième fois du prix afin d'évaluer le critère de l'organisation, alors que le prix constitue un critère d'adjudication distinct de celui de l'organisation. Le prix ne constitue en outre pas un élément inhérent au critère de l'organisation. En en tenant compte pour évaluer ce critère, l'intimé a en définitive modifié les critères d'adjudication annoncés après le dépôt des offres, ce que prohibe le principe de transparence de la procédure. Il y a lieu de relever, par ailleurs, que le coût moyen de 58 francs de l'heure retenu par l'adjudicateur est non seulement fondé sur sa propre évaluation du nombre d'heures de prestations d'ingénieur (1990 heures), mais que de surcroît, si l'on applique ce nombre d'heures à l'estimation des honoraires d'ingénieur civil établie par l'adjudicateur lui-même, soit 120'000 francs, le coût horaire moyen s'élève à 60 francs. On ajoutera par ailleurs qu'en cas d'offre anormalement basse, l'adjudicateur est tenu de s'enquérir de la seule capacité du soumissionnaire, laquelle a été admise en l'occurrence (v. cons.5a; RJN 2009, p.265 cons.5c). Par ailleurs, il résulte de l'annexe R6 que le critère de l'organisation serait évalué en fonction des moyens humains que le soumissionnaire proposait de mettre en place pour exécuter le marché en conformité avec les exigences, les objectifs et les échéances principales. C'est donc bien sur la base des effectifs prévus pour l'exécution du marché que ce critère devait être évalué, et non pas en fonction de la dotation totale de chacun des soumissionnaires, sous peine de favoriser les grands bureaux d'ingénieurs par rapport aux bureaux de taille plus modeste. En retenant que le nombre moyen de personnes prévu pour l'exécution du marché par la recourante était disproportionné par rapport à sa taille et que les autres soumissionnaires étaient globalement mieux pourvus en personnel, l'intimé a violé la réglementation en matière de marchés publics, dont l'un des objectifs est de garantir une concurrence efficace entre les soumissionnaires. Pour ces motifs également, l'intimé a donc abusé de son pouvoir d'appréciation. b) Concernant la qualification des personnes-clés avec CV, destinée à apprécier le critère de l'organisation, la recourante reproche à l'intimé de n'avoir retenu que deux bons CV qualifiés, au motif que G. serait à la retraite, ce qu'elle réfute. Elle relève que l'intimé n'a en revanche pas tenu compte de l'âge d'A. du bureau U. SA. A cet égard, il est fait mention, dans le procès-verbal d'évaluation des offres, de la remarque suivante : "deux bons CVs, qualifiés (G. retraité)". Dans ses observations sur le recours, l'intimé explique que les compétences et l'expérience du prénommé ne sont pas remises en cause, mais que celui-ci, âgé de 72 ans, a été apprécié comme un soutien occasionnel, ajoutant que sa fonction se limite à l'administration financière et qu'il n'apportera aucun soutien technique pour le marché. Il précise en outre que A. a été, au même titre que G., apprécié en tant que soutien. Ceci ne ressort toutefois pas du procès-verbal d'évaluation des offres, de même qu'il ne résulte pas de l'offre de la recourante que G. est retraité. Si l'intimé n'était pas fondé à écarter le CV du prénommé en raison de son âge, alors que ses compétences ne sont par ailleurs pas remises en question, il n'a en revanche pas abusé de son pouvoir d'appréciation en retenant que celui-ci n'apporterait aucun soutien technique pour l'exécution du marché, vu les informations fournies par la recourante dans l'annexe R6. La recourante critique également le fait que l'intimé a retenu comme point positif la présence d'un "ingénieur junior" pour le bureau T. SA , alors que le dossier d'appel d'offres ne mentionnait pas la prise en compte du critère de la formation des jeunes. Elle ajoute que si cet élément devait être admis, l'intimé aurait alors dû tenir compte du fait qu'elle emploie un jeune dessinateur et deux dessinateurs en formation. On ne saurait toutefois la suivre sur ce point. Le dossier d'appel d'offres mentionnait en effet que le nombre et l'ordre d'importance des critères d'adjudication étaient définitifs et annoncés préalablement, mais que l'adjudicateur se réservait le droit de fixer autant d'éléments d'appréciation qu'il était nécessaire pour départager les soumissionnaires (p.8). De plus, si la recourante emploie un jeune dessinateur, celui-ci ne figure pas au nombre des personnes-clés mentionnées dans l'annexe R9. Il y a lieu de relever en revanche la mention, dans le procès-verbal d'évaluation des offres, concernant l'offre de T. SA : "bon(s) CVs, dont un ingénieur junior". Or, si ce bureau a rempli l'annexe R9 pour trois employés, il n'a par contre pas fourni de CV, ce dont l'intimé n'a vraisemblablement pas tenu compte si l'on se réfère au procès-verbal d'évaluation des offres. Pour ces motifs aussi et vu le pouvoir d'appréciation dont dispose l'intimé, la cause doit lui être renvoyée. Il lui incombera de procéder à une nouvelle appréciation de la disponibilité des moyens et des ressources et de la qualification des personnes-clés avec CV des différentes offres, et en conséquence, à une nouvelle notation du critère de l'organisation.</w:t>
      </w:r>
    </w:p>
    <w:p>
      <w:r>
        <w:rPr>
          <w:b/>
        </w:rPr>
        <w:t>E. 8</w:t>
      </w:r>
    </w:p>
    <w:p>
      <w:r>
        <w:t>La requête d'effet suspensif est sans objet. Vu l'issue du litige, il est statué sans frais (art.47 al.1 et 2 LPJA , par renvoi de 41 LCMP ). La recourante, qui obtient gain de cause, a droit à des dépens à la charge de l'intimé (art.48 al.1 LPJA , par renvoi de 41 LCMP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