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TA.2009.462 vom 19. Februar 2009</w:t>
      </w:r>
    </w:p>
    <w:p>
      <w:r>
        <w:t>NE Tribunal cantonal, 2009-02-19, FR</w:t>
      </w:r>
    </w:p>
    <w:p>
      <w:r>
        <w:rPr>
          <w:b/>
        </w:rPr>
        <w:t xml:space="preserve">Quelle: </w:t>
      </w:r>
      <w:r>
        <w:t>https://mcp.opencaselaw.ch/entscheid/ne_gerichte_TA.2009.462_d20090219</w:t>
      </w:r>
    </w:p>
    <w:p>
      <w:r>
        <w:t>FR: NE_GERICHTE TA.2009.462 du 19 février 2009</w:t>
      </w:r>
    </w:p>
    <w:p>
      <w:r>
        <w:t>IT: NE_GERICHTE TA.2009.462 del 19 febbraio 2009</w:t>
      </w:r>
    </w:p>
    <w:p>
      <w:pPr>
        <w:pStyle w:val="Heading2"/>
      </w:pPr>
      <w:r>
        <w:t>Regeste</w:t>
      </w:r>
    </w:p>
    <w:p>
      <w:r>
        <w:t>Récusation. Tardiveté d'une demande intervenue au moins deux mois après la connaissance du motif de récusation.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Rejette le recours.</w:t>
      </w:r>
    </w:p>
    <w:p>
      <w:r>
        <w:rPr>
          <w:b/>
        </w:rPr>
        <w:t>E. 2</w:t>
      </w:r>
    </w:p>
    <w:p>
      <w:r>
        <w:t>Met à la charge de la recourante un émolument de décision de 700 francs et les débours forfaitaires par 70 francs, montants compensés par son avance.</w:t>
      </w:r>
    </w:p>
    <w:p>
      <w:r>
        <w:rPr>
          <w:b/>
        </w:rPr>
        <w:t>E. 3</w:t>
      </w:r>
    </w:p>
    <w:p>
      <w:r>
        <w:t>N'alloue pas de dépens. Neuchâtel, le 9 février 2010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