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TA.2009.392 vom 10. September 2009</w:t>
      </w:r>
    </w:p>
    <w:p>
      <w:r>
        <w:t>NE Tribunal cantonal, 2009-09-10, FR</w:t>
      </w:r>
    </w:p>
    <w:p>
      <w:r>
        <w:rPr>
          <w:b/>
        </w:rPr>
        <w:t xml:space="preserve">Quelle: </w:t>
      </w:r>
      <w:r>
        <w:t>https://mcp.opencaselaw.ch/entscheid/ne_gerichte_TA.2009.392_d20090910</w:t>
      </w:r>
    </w:p>
    <w:p>
      <w:r>
        <w:t>FR: NE_GERICHTE TA.2009.392 du 10 septembre 2009</w:t>
      </w:r>
    </w:p>
    <w:p>
      <w:r>
        <w:t>IT: NE_GERICHTE TA.2009.392 del 10 settembre 2009</w:t>
      </w:r>
    </w:p>
    <w:p>
      <w:pPr>
        <w:pStyle w:val="Heading2"/>
      </w:pPr>
      <w:r>
        <w:t>Regeste</w:t>
      </w:r>
    </w:p>
    <w:p>
      <w:r>
        <w:t>Délai d'une demande en révision d'un jugement d'un tribunal cantonal des assurances.</w:t>
      </w:r>
    </w:p>
    <w:p>
      <w:pPr>
        <w:pStyle w:val="Heading2"/>
      </w:pPr>
      <w:r>
        <w:t>Erwägungen</w:t>
      </w:r>
    </w:p>
    <w:p>
      <w:r>
        <w:rPr>
          <w:b/>
        </w:rPr>
        <w:t>E. 1</w:t>
      </w:r>
    </w:p>
    <w:p>
      <w:r>
        <w:t>a) Selon l'article 61 let. 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 61; cf. aussi ATF 111 V 51 ). En particulier, la question du délai de révision relève du droit cantonal (arrêts du TF du 24.02.2010 [8C_934/2009] cons.1.2; du 06.12.2005 [I 642/04 ] cons.1). La Cour de céans a jugé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 67 al. 1 PA ; arrêt de la CDP du 02.05.2013 [2012.338] cons. 1a et la référence, publié sur le site http://jurisprudence.ne.ch ). b) En l’occurrence, le motif qui fonde la demande de révision de l'arrêt du 28 décembre 2010 (défaut de la clause d'assurance) est connu de l'OAI, sinon depuis bien avant celui-ci (cf. arrêt du TF du 25.06.2013 [9C_340/2013] cons. 3.3), en tous les cas depuis le 22 août 2012, date à laquelle le requérant a informé l'assurée de son projet de décision tendant à lui refuser tout droit à une rente, motif pris qu'elle ne remplissait pas la clause d'assurance. Il s'ensuit que, déposée le 7 mai 2013, la demande de révision de l'OAI est intervenue largement au-delà du délai de 90 jours et doit, pour cette raison, être déclarée irrecevable.</w:t>
      </w:r>
    </w:p>
    <w:p>
      <w:r>
        <w:rPr>
          <w:b/>
        </w:rPr>
        <w:t>E. 2</w:t>
      </w:r>
    </w:p>
    <w:p>
      <w:r>
        <w:t>Vu le sort de la cause, les frais de procédure doivent être mis à la charge du requérant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