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TA.2008.238 vom 7. Juli 2010</w:t>
      </w:r>
    </w:p>
    <w:p>
      <w:r>
        <w:t>NE Tribunal cantonal, 2010-07-07, FR</w:t>
      </w:r>
    </w:p>
    <w:p>
      <w:r>
        <w:rPr>
          <w:b/>
        </w:rPr>
        <w:t xml:space="preserve">Quelle: </w:t>
      </w:r>
      <w:r>
        <w:t>https://mcp.opencaselaw.ch/entscheid/ne_gerichte_TA.2008.238</w:t>
      </w:r>
    </w:p>
    <w:p>
      <w:r>
        <w:t>FR: NE_GERICHTE TA.2008.238 du 7 juillet 2010</w:t>
      </w:r>
    </w:p>
    <w:p>
      <w:r>
        <w:t>IT: NE_GERICHTE TA.2008.238 del 7 luglio 2010</w:t>
      </w:r>
    </w:p>
    <w:p>
      <w:pPr>
        <w:pStyle w:val="Heading2"/>
      </w:pPr>
      <w:r>
        <w:t>Erwägungen</w:t>
      </w:r>
    </w:p>
    <w:p>
      <w:r>
        <w:rPr>
          <w:b/>
        </w:rPr>
        <w:t>E. 1</w:t>
      </w:r>
    </w:p>
    <w:p>
      <w:r>
        <w:t>Interjeté dans les formes et délai légaux, le présent recours est recevable.</w:t>
      </w:r>
    </w:p>
    <w:p>
      <w:r>
        <w:rPr>
          <w:b/>
        </w:rPr>
        <w:t>E. 2</w:t>
      </w:r>
    </w:p>
    <w:p>
      <w:r>
        <w:t>Les modifications de la loi sur l'assurance-invalidité du 21 mars 2003 (4e révision AI) et du 6 octobre 2006 (5e révision AI) sont entrées en vigueur respectivement les 1er janvier 2004 et 1er janvier 2008, entraînant de nombreuses modification légales en matière d'assurance-invalidité. Compte tenu de la date de la décision litigieuse, soit le 19 mars 2008, il convient d'examiner le droit à une rente de l'assurance-invalidité en tenant compte des modifications législatives introduites par la 4e révision AI pour la période du 4 mars 2004 au 31 décembre 2007, puis à l'aune des dispositions introduites par la 5e révision AI entrées en vigueur le 1er janvier 2008 pour la période depuis cette date (ATF 132 V 215 cons.3.1.1, 130 V 445 cons.1, 130 V 329 cons.2.3; arrêt du TFA du 24.08.2006 [I 392/05] cons.3.1; arrêt du TF du 28.08.2008 [8C_373/2008] cons.2.1). Le Tribunal fédéral des assurances a par ailleurs jugé que les principes développés par la jurisprudence sur les notions d'incapacité de travail, d'incapacité de gain, d'invalidité et de révision ainsi que sur la détermination du taux d'invalidité s'appliquent en principe aussi sous l'empire de la LPGA ainsi que de la 4e révision AI ( ATF 130 V 343 cons.2, 3.6; arrêt du TFA du 24.08.2006 [I 392/05] cons.3.2). La 5e révision AI n'a pas non plus apporté de modifications substantielles aux principes régissant l'évaluation du degré d'invalidité selon le droit antérieur, de sorte que l'ancienne jurisprudence demeure valable dans ce domaine (arrêt du TF du 28.08.2008 [8C_373/2008] cons.2.1).</w:t>
      </w:r>
    </w:p>
    <w:p>
      <w:r>
        <w:rPr>
          <w:b/>
        </w:rPr>
        <w:t>E. 2.1</w:t>
      </w:r>
    </w:p>
    <w:p>
      <w:r>
        <w:t>p.429; 125 I 127 cons.6c/cc in fine p.135). d) En l'espèce on ne saurait retenir sans plus ample examen, qu'une reprise d'une activité à 100 %, sans atteinte à la santé, n'était pas plausible comme l'a fait l'OAI. La volonté de l'assurée (qui n'est d'ailleurs pas qu'hypothétique, puisque clairement formulée) peut en effet être déduite de plusieurs indices objectifs extérieurs (voir sur ce point l'arrêt du TF du 12.05.2010 [9C_762/2009] cons.4). L'examen des revenus de l'assurée permet en effet de constater que depuis 1997, son taux d'activité n'a fait qu'augmenter. L'OAI relevait d'ailleurs qu'une activité (finale) à 80 % chez L. SA correspondait à une activité à 100 % chez un autre employeur (probablement en raison de la pénibilité des travaux effectués). De surcroît les enfants de la recourante, nés en 1982 et 1986, ne nécessitaient plus du tout sa présence partielle au foyer. En dernier lieu et même si cet élément n'était pas encore connu de l'OAI, on ne saurait négliger que la recourante entend maintenant divorcer selon les dernières correspondances de son mandataire. L'Autorité de céans doit constater que la question du taux d'activité de l'assurée sans invalidité a été insuffisamment instruite. Compte tenu du pouvoir d'appréciation reconnu à l'assureur social en cette matière, il convient dès lors d'ores et déjà de lui renvoyer le dossier pour complément d'instruction pour ce premier motif. e) Si l'intimé, après ce complément d'instruction, devait maintenir que la recourante n'aurait pas exercé d'activité professionnelle à plus de 80 %, on rappellera que d 'après l'expertise du SMR, la recourante dispose dans une activité simple d'une capacité de travail résiduelle de 50 % calculée sur la base d'un horaire à plein temps. Il faut donc tenir compte du fait qu'elle est capable d'effectuer la moitié d'un horaire normal de 100 % et non pas la moitié de son horaire à 80 %. Selon la jurisprudence du Tribunal fédéral, le calcul suivant doit être effectué pour déterminer l'incapacité de gain pour la part consacrée à l'activité lucrative : ([80-50] x 100 : 80) = 37.5 % (arrêts du TF du 15.12.2006 [I 930/05] cons.4.2.2.2 et du 16.06.2004 [I 461/03] cons.4.2], v. également arrêt du TA du 06.04.2009 [TA 2008.387] ). Dans un deuxième temps, il convient, toujours selon la jurisprudence précitée, de multiplier l'invalidité présente dans le cadre de l'activité lucrative par la quote-part de cette activité : 37.5 % x 80 % = 30 %. Le Tribunal fédéral a eu l'occasion de s'exprimer dans le détail sur ce calcul (arrêt du TF non publié du 29.04.1999 dans la cause A.E., in : VSI 6/1999, p.231, cons.2b et 4 et les références). Ainsi, selon la méthode mixte, pour fixer l'invalidité totale, il n'y a pas lieu de prendre en considération l'intégralité de la réduction de la capacité de gain calculée sur la base de l'activité lucrative à temps partiel que l'assuré aurait exercée sans son invalidité, mais seulement la part pondérée (ici 80 %) correspondant à l'horaire de travail hypothétique. L'addition des taux d'invalidité retenus pour l'une (professionnelle) et l'autre (ménagère) des activités accomplies par la recourante conduit au taux global. En l'espèce toutefois, l'intimé n'ayant pas procédé à une enquête ménagère, la détermination de ce taux n'est pas possible. 6. a) D'autres motifs justifient en outre que le prononcé attaqué soit annulé.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(art.16 LPGA). La comparaison des revenus s'effectue en règle générale en chiffrant aussi exactement que possible les montants des revenus avec et sans invalidité et en les confrontant l'un avec l'autre, la différence permettant de calculer le taux d'invalidité (méthode générale de comparaison des revenus; ATF 128 V 29 cons.1, 104 V 135 cons.2a et 2b). Les revenus avec et sans invalidité doivent être déterminés par rapport à un même moment, qui est celui de la naissance du droit à une éventuelle rente dans une procédure d'octroi de rente (ATF 129 V 222 cons.4.1, 128 V 174 ). En règle générale, le revenu hypothétique sans invalidité de la personne assurée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Meyer-Blaser , Bundesgesetz über die Invalidenversicherung, p.205; ATF 129 V 222 cons.4.3.1 et les références). Pour le revenu d'invalide, lorsque l'assuré n'a pas repris d'activité lucrative, on peut se fonder, selon la jurisprudence constante, sur les salaires qui ressortent des enquêtes statistiques officielles (ATF 126 V 75 cons.3b/aa et bb; VSI 2002, p.64 cons.3b). Est alors déterminante la valeur moyenne de la statistique des salaires bruts standardisés (ATF 124 V 321 cons.3b/bb; VSI 1999, p.182). Le montant obtenu sera le cas échéant encore réduit en fonction des empêchements propres à la personne de l'invalide et susceptibles de limiter ses perspectives salariales. b) En ce qui concerne l'activité professionnelle de l'intéressée, l'OAI a estimé son degré d'invalidité à 13 % (16 % de perte économique en tant qu'active à 80 %) en se fondant d'une part sur son dernier salaire, indexé, d'autre part sur les valeurs statistiques (ESS 2004). Sur la base de l'expertise effectuée dans le cadre de l'instruction du cas, il doit effectivement être admis que la recourante demeure capable d'exercer une activité simple et répétitive, sans limitations, à raison de 50 %. Au demeurant, selon la jurisprudence constante, au regard du large éventail d'activités simples que recouvrent les secteurs de la production et des services, on doit convenir qu'un certain nombre d'entre elles sont adaptées au handicap de la recourante (v. par exemple arrêt du TF du 25.06.2008 [9C_749/2007] cons.2.2 et les références). Le revenu d'invalide peut donc en l'espèce être déterminé sur la base des données statistiques. Selon le tableau TA1 de l'enquête sur la structure des salaires 2004, la valeur centrale de la rémunération pour les femmes chargées de tâches simples et répétitives (niveau des exigences 4) dans le secteur privé (avec un horaire hebdomadaire de 40 heures) s'élève à 3'893 francs mensuellement, treizième salaire compris, ce qui correspond, pour un horaire moyen hebdomadaire de 41,6 heures (v. données de l'OFS pour 2004), à 48'585 francs annuellement pour un plein temps ou 24'292 francs pour une activité exercée à 50 %.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convient également de prendre en considération le fait que les personnes atteintes dans leur santé qui, auparavant, accomplissaient un travail physique pénible et qui, après la survenance de l'atteinte à la santé, ne sont pas capables d'assumer sans restriction des travaux moins astreignants sont défavorisées sur le plan du salaire par rapport à des travailleurs en pleine possession de leurs forces leur permettant d'assumer des tâches en conséquence, et qu'elles doivent se contenter d'un niveau de salaire en dessous de la moyenne (ATF 124 V 321 cons.3b/bb; VSI 2000, p.82 cons.2b). Une déduction globale maximale de 25 % sur le salaire statistique permet de tenir compte des différents éléments qui peuvent influencer le revenu d'une activité lucrative (ATF 126 V 75 cons.5b/aa-cc, p.79). d) L'appréciation de l'OAI en l'espèce ne convainc nullement. S'agissant du revenu avec invalidité, ou plus exactement de l'abattement à opérer, l'intimé n'a tenu aucun compte du fait que outre son origine et sa disponibilité réduite (50 %), la recourante était analphabète, ne parlait pratiquement pas le français, n'avait aucune formation professionnelle et qu'elle s'adapterait difficilement à un environnement de travail, selon le SMR, à quoi s'ajoute le fait qu'elle apparaît totalement dépendante de son entourage et dans une situation personnelle et sociale plus que précaire. Arrêter dans de telles circonstances l'abattement jurisprudentiellement admis et reconnu à 5 % seulement relève d'une appréciation totalement erronée des faits pertinents et l'intimé n'a à nouveau pas satisfait ici à son obligation de motiver sa décision, telle qu'elle découle de l'art.29 al.2 Cst et de la jurisprudence (ATF 126 V 75 , cons.5b/dd). S'agissant du revenu sans invalidité, l'intimé s'est fondé sur le dernier revenu réalisé chez L. SA en 2002 (26'788 frs) indexé à juste titre pour 2003 de 1,4 % et pour 2004 de 0,9 %, soit 27'407,50 francs pour un emploi à 80 % ou 34'259,40 francs à 100 %. Malgré le fait que les notes de l'OAI relèvent que la recourante était payée "au lance-pierre" (sic) et que la recourante dans son opposition avait clairement soulevé cette question, l'intimé a fait totalement abstraction du très faible niveau salarial de la recourante avant invalidité. Au moment déterminant pour l'octroi de la rente (mars 2004), cette dernière aurait réalisé sans invalidité et dans son poste de travail un revenu annuel de 34'260 francs à plein temps, alors qu'à la même période, le revenu ESS moyen, secteur privé, niveau 4, pour les femmes s'élevait à 48'585 francs, et à 45'577 francs dans la branche économique industries manufacturières, industrie alimentaire (ESS 2004.TA 1. ch.15.37/15). Au regard de la jurisprudence du Tribunal fédéral (ATF 134 V 322 , cons.4.1 et la jurisprudence antérieure citée), un tel écart, même après déduction de la marge de tolérance de + ou – 5 % admise (ATF 135 V 297 ), devait obligatoirement conduire l'OAI à corriger la comparaison de revenus effectuée, dans la mesure où il est évident que la recourante ne se contentait pas volontairement d'un tel salaire (ATF 135 V 58 , cons.3.4). En pratique le parallélisme des deux revenus à comparer peut être effectué soit au regard du revenu sans invalidité en augmentant de manière appropriée le revenu effectivement réalisé ou en se référant aux données statistiques de la branche, soit au regard du revenu d'invalide en réduisant alors de manière appropriée la valeur statistique (pour un exemple v. ATAF du 06.01.2010 dans la cause A. réf. c-5098/2007 , cons.10.3.2). N'ayant pas procédé à ces corrections, l'intimé s'est ici aussi rendu coupable d'une violation de la loi peu compréhensible. Comme la jurisprudence fédérale laisse le choix à l'assureur social soit de corriger les montants statistiques soit de corriger le revenu effectif sans invalidité et comme de plus, il lui appartient en sus de décider s'il y a encore lieu ou non de procéder à un abattement aux fins d'éviter le cumul de correctifs (Circulaire de l'OFAS sur l'invalidité, édition de novembre 2009, valable dès le 1.1. 2010, chiffre 2.2 et suivants), l'autorité de céans ne saurait ici non plus substituer son appréciation à l'absence d'appréciation de l'intimé. 7. Le Tribunal administratif ne disposant pas du pouvoir d'examiner sous l'angle de l'opportunité la cause et les questions de fait non résolues qu'elle soulève (art.33 LPJA; ATA du 29.12.2009, TA.2008.125, cons.6 in fine et la jurisprudence citée), il ne lui incombe pas de procéder aux compléments d'instruction nécessaires pour apprécier et juger de manière équitable le présent litige. L e recours doit ainsi être admis, la décision entreprise annulée et la cause renvoyée à l’OAI pour qu’il complète l’instruction dans le sens des considérants. Vu l'issue du litige, l'OAI supportera les frais de la procédure. Le recourant qui obtient gain de cause a en outre droit à des dépens, à charge de l'intimé (art.61 litt.g LPGA).</w:t>
      </w:r>
    </w:p>
    <w:p>
      <w:r>
        <w:rPr>
          <w:b/>
        </w:rPr>
        <w:t>E. 3</w:t>
      </w:r>
    </w:p>
    <w:p>
      <w:r>
        <w:t>a) L'invalidité (art.</w:t>
      </w:r>
    </w:p>
    <w:p>
      <w:r>
        <w:rPr>
          <w:b/>
        </w:rPr>
        <w:t>E. 3.2</w:t>
      </w:r>
    </w:p>
    <w:p>
      <w:r>
        <w:t>p.324; SVR 2007 IV no 31 p.111 [I 455/06], cons. 4.1).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(arrêt du TF du 06.11.2008 [9C_286/2008] cons.4.1; ATF 130 II 425 cons.</w:t>
      </w:r>
    </w:p>
    <w:p>
      <w:r>
        <w:rPr>
          <w:b/>
        </w:rPr>
        <w:t>E. 8</w:t>
      </w:r>
    </w:p>
    <w:p>
      <w:r>
        <w:t>al. 1 LPGA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(art.7 LPGA jusqu'au 31.12.2007; 7 al.1 LPGA dès le 01.01.2008 ). Seules les conséquences de l'atteinte à la santé sont prises en compte pour juger de la présence d'une incapacité de gain. De plus, il n'y a incapacité de gain que si celle-ci n'est pas objectivement surmontable (art. 7 al.2 LPGA dès le 01.01.2008 ). L'assuré a droit à une rente s'il est invalide à 40 % au moins, la rente étant échelonnée selon le taux d'invalidité. Jusqu'au 31 décembre 2003, l'assuré avait droit à un quart de rente s'il était invalide à 40 % au moins, à une demi-rente s'il était invalide à 50 % au moins et à une rente entière s'il était invalide à 66 2/3 % au moins. Depuis le 1er janvier 2004, une invalidité de 40 % au moins donne droit à un quart de rente, une invalidité de 50 % au moins à une demi-rente, une invalidité de 60 % au moins à trois-quarts de rente et une invalidité de 70 % au moins à une rente entière. L'article 16 LPGA s'applique à l'évaluation de l'invalidité des assurés exerçant une activité lucrative (art. 28 al.1, 2 LAI jusqu'au 31.12.2007; 28 al.1 , 2, 28a al.1 LAI dès le 01.01.2008).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(art.16 LPGA). b) Si l'invalidité est une notion juridique fondée sur des éléments d'ordre essentiellement économique ,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 4, 115 V 133 cons.2, 114 V 310 cons.3c).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cons.3a, 122 V 157 cons.1c; RAMA 1996 no U 256, p.215 cons.4). Par ailleurs,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 cons.3b/cc). On ajoutera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 M ais , en l'absence d'une expertise externe, s'il existe un doute, même faible, sur leur fiabilité et leur pertinence, il conviendra d'ordonner des investigations complémentaires (ATF 135 V 465 cons.4). 4. a) En l'espèce, la recourante conteste les conclusions de l'expertise du Dr S. et réclame qu'une nouvelle expertise complémentaire multidisciplinaire (psychiatre et rhumatologue) soit ordonnée. Elle motive cette requête par le fait que l'expert n'aurait pas tenu compte de son état rhumatologique, que celui-ci s'est au surplus aggravé entre l'expertise et la date de la décision sur opposition et que cette aggravation est confirmée par le médecin traitant. Faute de toute nouvelle pièce médicale produite et en l'absence de la moindre des confirmations par le médecin traitant, l'Autorité de céans ne saurait en tous les cas retenir une aggravation fondée sur les seuls constats visuels et appréciations personnelles du mandataire de la recourante. Quant à la requête d'une nouvelle expertise confiée non pas seulement à un médecin psychiatre mais également à un médecin rhumatologue, elle est à l'évidence mal-fondée. b) La fibromyalgie est une affection à l'étiologie incertaine caractérisée par une douleur généralisée et chronique du système ostéo-articulaire qui s'accompagne généralement d'une constellation de perturbations essentiellement subjectives (telles que fatigue, troubles du sommeil, sentiment de détresse, céphalées, manifestations digestives et urinaires d'allure fonctionnelle). Le diagnostic de fibromyalgie ne renseigne toutefois pas sur l'intensité des douleurs ressenties par la personne concernée, ni sur leur évolution ou sur le pronostic que l'on peut poser dans un cas concret. C'est pourquoi le Tribunal fédéral a estimé, en l'état actuel des connaissances, qu'il se justifiait, sous l'angle juridique, d'appliquer par analogie l es critères dégagés par le Tribunal fédéral pour permettre d'apprécier le caractère invalidant de troubles somatoformes douloureux (ATF 130 V 352 , p.354 et 131 V 49 , p.50) également à la fibromyalgie (ATF 132 V 65 ) et au syndrome chronique de fatigue ou à la neurasthénie (arrêt du TF du 14.04.2008 [I 70/07] , du 01.10.2009 [9C_543/2009] cons.2.4, du 12.01.2009 [9C_676/2008] cons.4.3.1). Selon la jurisprudence, des troubles somatoformes douloureux peuvent, dans certaines circonstances, conduire à une incapacité de travail. De tels troubles entrent dans la catégorie des affections psychiques, pour lesquelles une expertise psychiatrique est en principe nécessaire quand il s'agit de se prononcer sur l'incapacité de travail qu'ils sont susceptibles d'entraîner.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131 V 49 cons.1.2, 130 V 352 cons.2.2.2).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 Meyer-Blaser , Der Rechtsbegriff der Arbeitsunfähigkeit und seine Bedeutung in der Sozialversicherung, namentlich für den Einkommensvergleich in der Invaliditätsbemessung, in : Schauffhauser/Schlauri (éd.), Schmerz und Arbeitsunfähigkeit, p.64 ss. et note 93). En effet, selon la jurisprudence, les troubles somatoformes douloureux persistants n'entraînent pas, en règle générale, une limitation de longue durée de la capacité de travail susceptible de conduire à une invalidité au sens de l'article 4 al.1 LAI (v. sur ce point Meyer-Blaser , op.cit. p.76 ss, spéc. p.81 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 plus raisonnablement être exigée de l'assuré, ou qu'elle serait même insupportable pour la société.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 132 V 65 , cons.4.2 et les références). Dans ce contexte, le diagnostic d'état dépressif (dépression, épisode dépressif, etc.) ne saurait faire l'objet d'un diagnostic séparé (constituer une comorbidité psychiatrique), dès lors qu'il apparaît comme l'une des manifestations (réactives) d'accompagnement des troubles somatoformes douloureux ( ATF 130 V 352 cons.3.3.1 in fine p.358). On conclura par ailleurs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cons.4.2.2 p.71). c)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mentionnés au considérant ci-dessus - lui permettent de surmonter ses douleurs. Il s'agit pour lui d'établir de manière objective si, compte tenu de sa constitution psychique, l'assuré peut exercer une activité sur le marché du travail, malgré les douleurs qu'il ressent (ATF 130 V 352 ss cons.2.2.4. et les arrêts cités).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294 cons.5a p. 299 ; VSI 2000 p.149 cons.3), ou si la limitation (partielle ou totale) de la capacité de travail est justifiée par les critères juridiques déterminants, énumérés aux considérants ci-dessus (v. ATF 130 V 352 cons.2.2.5 p. 355). d) La fibromyalgie de la recourante étant attestée tant par le Dr C. que par la Dresse M., c'est à juste titre que l'OAI a dès lors confié une expertise à un médecin psychiatre conformément aux réquisits de la jurisprudence du Tribunal fédéral. Pour le reste, l'expertise du Docteur S. est fondée sur une anamnèse détaillée, des examens complets et un diagnostic clair. L'évaluation de la capacité de travail médicale est suffisamment motivée et l'expert a pris soin de distinguer les éléments étrangers à l'invalidité. Ce rapport est dès lors pleinement probant au sens où l'entend la jurisprudence (cons.3b ci-dessus). Une nouvelle expertise complémentaire ne se justifie dès lors pas. 5. a) C'est par contre avec plus de pertinence que la recourante conteste le choix de la méthode d'évaluation de son invalidité. Le degré d'invalidité d'une personne exerçant une activité lucrative est fixé d'après la comparaison des revenus, c'est-à-dire essentiellement selon des considérations économiques. Ainsi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(dès le 01.01.2004 : art.28 al.2 LAI [ 28a al.1 LAI , depuis le 01.01.2008] en corrélation avec l'art.16 LPGA). L'invalidité d'un assuré qui n'exerce pas d'activité lucrative et dont on ne peut raisonnablement exiger qu'il en entreprenne une est évaluée, en dérogation de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(le 01.01.2004 : art. 28 al.2 bis LAI [28a LAI, depuis le 01.01.2008] en corrélation avec les art.27 RAI; 8 al.3 LPGA). L'invalidité d'un assuré qui n'exerce que partiellement une activité lucrative est, pour cette part, évaluée selon la méthode ordinaire de comparaison des revenus. S'il se consacre en outre à ses travaux habituels, l'invalidité est fixée selon la méthode spécifique pour cette activité .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(dès le 01.01.2004 : art.28 al.2 ter LAI [ 28a LAI , depuis le 01.01.2008] en corrélation avec les art.27 bis RAI et 16 LPGA, ainsi que l'art.28 al.2 bis LAI [ 28a LAI , depuis le 01.01.2008] en corrélation avec les art.27 RAI; 8 al.3 LPGA). L'invalidité totale résulte de l'addition des taux d'invalidité pondérés dans les deux domaines (RCC 1979, p.276). b) En l'espèce et dans un premier temps, (notes de l'OAI, p.2) l'intimé a envisagé de considérer la recourante comme une personne active à 100 %. Il lui a par ailleurs expressément demandé le 31 mars 2005 si, sans ses problèmes de santé, elle aurait travaillé plutôt à 100 %, ce à quoi l'assurée a répondu par l'affirmative le 11 avril 2005. Nonobstant, l'intimé a retenu dans la décision attaquée que la recourante était engagée à 80 % dans son activité antérieure et que sur la base de son parcours professionnel, elle aurait certainement continué à travailler à 80 % puisqu'elle ne faisait valoir aucun élément pertinent (modification de la situation familiale, etc.) susceptible de faire penser selon une vraisemblance prépondérante, qu'elle aurait augmenté son taux d'activité à 100 %. Selon lui, dès lors, la méthode mixte restait applicable. c)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(v. art. 43 al.1 LPGA ). Le devoir d'instruction s'étend jusqu'à ce que les faits nécessaires à l'examen des prétentions en cause soient suffisamment élucidés (arrêt TF du 12.01.2009 [9C_676/2008], cons.3.2.1 et du 19.11.2007 [8C_364/2007] cons.3.2). Dans la conduite de la procédure, l'assureur dispose d'un large pouvoir d'appréciation en ce qui concerne la nécessité, l'étendue et l'adéquation de recueillir des données. Le juge – ou l’administration – administre donc les preuves nécessaires et les apprécie librement (art. 61 litt.c LPGA; v. ATF 125 V 193 cons.2 p.195). Il peut toutefois considérer qu'un fait est prouvé et renoncer à de plus amples mesures d'instruction lorsqu'au terme d'un examen objectif, il ne conçoit plus de doutes sérieux ‑ mesurés à l’aune du degré de vraisemblance prépondérante valable en assurances sociales ‑ sur l'existence de ce fait (v. ATF 130 III 321 cons.</w:t>
      </w:r>
    </w:p>
    <w:p>
      <w:r>
        <w:rPr>
          <w:b/>
        </w:rPr>
        <w:t>E. 40</w:t>
      </w:r>
    </w:p>
    <w:p>
      <w:r>
        <w:t>%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(RO200751295147;FF20054215).2RS830.1</w:t>
      </w:r>
    </w:p>
    <w:p>
      <w:r>
        <w:t>1Lart. 16 LPGA2sapplique à lévaluation de linvalidité des assurés exerçant une activité lucrative. Le Conseil fédéral fixe le revenu déterminant pour lévaluation de linvalidité.</w:t>
      </w:r>
    </w:p>
    <w:p>
      <w:r>
        <w:t>2Linvalidité de lassuré qui nexerce pas dactivité lucrative et dont on ne peut raisonnablement exiger quil en entreprenne une est évaluée, en dérogation à lart. 16 LPGA, en fonction de son incapacité à accomplir ses travaux habituels.</w:t>
      </w:r>
    </w:p>
    <w:p>
      <w:r>
        <w:t>3Lorsque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t>1Introduit par le ch. I de la LF du 6 oct. 2006 (5erévision AI), en vigueur depuis le 1erjanv. 2008 (RO200751295147;FF20054215).2RS830.1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