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TA.2007.6 vom 30. April 2007</w:t>
      </w:r>
    </w:p>
    <w:p>
      <w:r>
        <w:t>NE Tribunal cantonal, 2007-04-30, FR</w:t>
      </w:r>
    </w:p>
    <w:p>
      <w:r>
        <w:rPr>
          <w:b/>
        </w:rPr>
        <w:t xml:space="preserve">Quelle: </w:t>
      </w:r>
      <w:r>
        <w:t>https://mcp.opencaselaw.ch/entscheid/ne_gerichte_TA.2007.6</w:t>
      </w:r>
    </w:p>
    <w:p>
      <w:r>
        <w:t>FR: NE_GERICHTE TA.2007.6 du 30 avril 2007</w:t>
      </w:r>
    </w:p>
    <w:p>
      <w:r>
        <w:t>IT: NE_GERICHTE TA.2007.6 del 30 aprile 2007</w:t>
      </w:r>
    </w:p>
    <w:p>
      <w:pPr>
        <w:pStyle w:val="Heading2"/>
      </w:pPr>
      <w:r>
        <w:t>Erwägungen</w:t>
      </w:r>
    </w:p>
    <w:p>
      <w:r>
        <w:rPr>
          <w:b/>
        </w:rPr>
        <w:t>E. 1</w:t>
      </w:r>
    </w:p>
    <w:p>
      <w:r>
        <w:t>La présente procédure porte à la fois sur une décision communale sujette à recours (résiliation des rapports de service; art.26 LPJA ; 61 du statut du personnel communal de la Commune Y. du 22.10.1990, sanctionné par le Conseil d'Etat le 03.12.1990 [ci-après : le Statut]) et sur des prestations pécuniaires découlant des rapports de service d'un agent communal (action de droit administratif, art.58 litt.a LPJA ). Elle a été introduite dans les formes et délai légaux (art.34 al.1, 35, 60 LPJA ).</w:t>
      </w:r>
    </w:p>
    <w:p>
      <w:r>
        <w:rPr>
          <w:b/>
        </w:rPr>
        <w:t>E. 2</w:t>
      </w:r>
    </w:p>
    <w:p>
      <w:r>
        <w:t>a) Selon l'article 13 du Statut, indépendamment des mesures disciplinaires, un employé peut, en tout temps, être licencié pour de justes motifs (al.1). Constituent de justes motifs l'incapacité de remplir la fonction, la maladie grave et de longue durée, le fait que l'employé ne remplit plus une condition dont dépendait sa nomination et toute autre circonstance de nature à rendre le maintien en fonction préjudiciable à la bonne marche des services communaux (al.2). Si les faits reprochés à l'employé dépendent de sa volonté, le renvoi doit être précédé d'un avertissement (al.3). Le renvoi est notifié par écrit, avec indication des motifs. Il déploie immédiatement ses effets et met fin à tous les rapports de service (al.4). Il peut faire l'objet d'un recours au Tribunal administratif, conformément à l'article 61 du statut (al.5). b) On doit pouvoir attendre d'une collectivité publique, tenue vis-à-vis de l'ensemble de la population d'assurer ses tâches, qu'elle puisse s'en remettre sans hésitation au fonctionnaire chargé de les accomplir ( Bois , La cessation des rapports de service à l'initiative de l'employé dans la fonction publique; RJN 1983, p.11 ss, 27). Selon la jurisprudence, des absences répétées et l'insuffisance des prestations sont suffisantes pour résilier les rapports de travail pour justes motifs. Lorsque leur accumulation rend la poursuite des rapports de service intolérable pour l'administration, il est même possible de mettre fin immédiatement au contrat de droit public (RJN 1984, p.128).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1983 I, p.332-333; RJN 1998, p.209 cons.3a, 1995, p.147-148). Selon l'article 33 litt.a et d LPJA, le Tribunal administratif examine uniquement si l'autorité a abusé de son pouvoir d'appréciation ou l'a excédé; il n'est pas habilité à contrôler l'opportunité de la décision puisque aucun texte légal en matière de statut de la fonction publique ne lui en donne la compétence ( RJN 1998, p.209 cons.3a et les références citées).</w:t>
      </w:r>
    </w:p>
    <w:p>
      <w:r>
        <w:rPr>
          <w:b/>
        </w:rPr>
        <w:t>E. 3</w:t>
      </w:r>
    </w:p>
    <w:p>
      <w:r>
        <w:t>En l'espèce, il n'est pas contesté que le recourant et demandeur (ci-après : le recourant) a fait l'objet, en 2004 et 2005, de deux avertissements pour des manquements à ses devoirs en relation avec l'alcoolisme dont il est atteint. Sa conduite avait alors causé une surcharge de travail à l'administration communale et perturbé son organisation. Il est constant aussi que le 29 novembre 2006, X. est arrivé très en retard à son bureau et qu'il était sous l'emprise de l'alcool. Que l'intéressé ait tenté en vain, l'avant-veille, d'obtenir de son employeur la prolongation du congé qu'il avait pris alors ne change évidemment rien à cette circonstance. Il s'agissait là, sans conteste, d'un nouvel épisode de défaillance du fonctionnaire imputable à son alcoolisme. A l'évidence, l'autorité communale était fondée à invoquer ce fait objectif, succédant à deux avertissements formels, pour mettre fin avec effet immédiat aux rapports de service. A ces motifs, suffisants pour justifier la décision attaquée, s'ajoutent les prélèvements importants opérés par X. sans autorisation dans les avoirs bancaires de la collectivité. L'ensemble de ces circonstances tend à faire de la cause un cas d'école permettant la résiliation des rapports de service avec effet immédiat. Le fait que, selon son médecin traitant, le prénommé était prétendument incapable de travailler le 29 novembre 2006 (D.2/8) n'est pas de nature à modifier l'appréciation ci-dessus. En effet, l'intéressé n'invoque aucun autre empêchement de travailler que son état d'alcoolisation (v. recours, p.7 in initio), lequel doit lui être imputé. Il apparaît dès lors évident que le licenciement en cause était justifié et que le recours est mal fondé.</w:t>
      </w:r>
    </w:p>
    <w:p>
      <w:r>
        <w:rPr>
          <w:b/>
        </w:rPr>
        <w:t>E. 4</w:t>
      </w:r>
    </w:p>
    <w:p>
      <w:r>
        <w:t>A supposer que soient applicables les dispositions du droit des obligations invoquées par le recourant à l'appui de ses conclusions pécuniaires (art.337c CO), ces dernières seraient de toute façon infondées au regard des considérations ci-dessus. En outre, la présidente du conseil communal n'a pas abusé de son pouvoir en faisant appel à la police pour obtenir le constat de l'état dans lequel se trouvait le recourant le 26 novembre 2006 lorsqu'il s'est rendu sur son lieu de travail. En effet, une telle mesure pouvait au contraire apparaître opportune puisque, par le passé, X. avait contesté certains griefs de son employeur, en particulier celui d'avoir sommeillé à son bureau (v. p.-v. de l'entretien du 07.09.2005, D.6a/24, p.1). L'action de droit administratif doit ainsi être rejetée.</w:t>
      </w:r>
    </w:p>
    <w:p>
      <w:r>
        <w:rPr>
          <w:b/>
        </w:rPr>
        <w:t>E. 5</w:t>
      </w:r>
    </w:p>
    <w:p>
      <w:r>
        <w:t>La cause ayant pu être tranchée de façon sûre, notamment au regard des faits admis par X. lui-même, en fonction des seules pièces du dossier, il n'est pas nécessaire d'administrer les preuves proposées par les parties.</w:t>
      </w:r>
    </w:p>
    <w:p>
      <w:r>
        <w:rPr>
          <w:b/>
        </w:rPr>
        <w:t>E. 6</w:t>
      </w:r>
    </w:p>
    <w:p>
      <w:r>
        <w:t>a) L'assistance judiciaire est accordée au requérant qui ne peut pas assumer les frais liés à la défense de ses droits sans porter atteinte au minimum nécessaire à son entretien et celui de sa famille (art.4 al.1 LAPCA ). En matière civile, y compris l'action civile devant le juge pénal, et en matière administrative, ainsi qu'en procédure de recours, l'octroi de l'assistance exige en outre que la cause n'apparaisse pas d'emblée dénuée de chance de succès (art.5 al.1 LAPCA ). b) En l'espèce, non seulement la procédure engagée par X. apparaissait d'emblée dénuée de toute chance de succès, mais elle s'est révélée téméraire. En effet, selon la jurisprudence, le seul fait de déposer un recours dépourvu de toute chance de succès ne relève pas encore en soi de la témérité : il faut en plus que, subjectivement, la partie ait pu se rendre compte, avec l'attention et la réflexion que l'on peut attendre d'elle, de l'absence de toute chance de succès de sa démarche, et que, malgré cela, elle ait persisté dans sa volonté de recourir (SVR 2004 EL no 2, p.6 et les références). En l'occurrence, à tout le moins au stade de la réplique, c'est à dire lorsqu'il fut avéré et reconnu qu'il avait opéré des prélèvements indus dans les avoirs bancaires de la Commune Y., le recourant ne pouvait plus maintenir la procédure sans verser dans la témérité. Par conséquent, l'assistance judiciaire ne saurait lui être accordée.</w:t>
      </w:r>
    </w:p>
    <w:p>
      <w:r>
        <w:rPr>
          <w:b/>
        </w:rPr>
        <w:t>E. 7</w:t>
      </w:r>
    </w:p>
    <w:p>
      <w:r>
        <w:t>a) En raison de la nature des causes en matière de relations de service, le Tribunal administratif a pour pratique de remettre les frais en application de l'article 47 al.4 LPJA. Cette jurisprudence ne saurait toutefois trouver application en cas de procédure téméraire. Le recourant qui succombe supportera par conséquent les frais de la cause. b) Le conseil communal conclut à la prise en charge des honoraires de son avocate, faisant tacitement référence aux dispositions applicables en procédure civile dans les cas de témérité (art.144 al.1 CPC ). Or, la procédure administrative neuchâteloise ne connaît pas de disposition du même genre et ne prévoit pas, au demeurant, que des dépens puissent être alloués en faveur des collectivités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